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A615" w14:textId="77777777" w:rsidR="006E47EF" w:rsidRPr="00116FEE" w:rsidRDefault="007D46DE" w:rsidP="006E47EF">
      <w:pPr>
        <w:jc w:val="center"/>
        <w:rPr>
          <w:rFonts w:ascii="Calibri" w:hAnsi="Calibri" w:cs="Calibri"/>
          <w:b/>
          <w:bCs/>
          <w:color w:val="FF7900"/>
          <w:sz w:val="36"/>
          <w:szCs w:val="48"/>
          <w:lang w:eastAsia="es-ES"/>
        </w:rPr>
      </w:pPr>
      <w:r>
        <w:rPr>
          <w:rFonts w:ascii="Calibri" w:hAnsi="Calibri" w:cs="Calibri"/>
          <w:b/>
          <w:bCs/>
          <w:color w:val="FF7900"/>
          <w:sz w:val="36"/>
          <w:szCs w:val="48"/>
          <w:lang w:eastAsia="es-ES"/>
        </w:rPr>
        <w:t>Atento nombra a María García-Trevijano Álvarez como nueva directora de RRHH de Atento EMEA</w:t>
      </w:r>
    </w:p>
    <w:p w14:paraId="4B0243E0" w14:textId="77777777" w:rsidR="00243569" w:rsidRPr="00116FEE" w:rsidRDefault="007D46DE" w:rsidP="006E47EF">
      <w:pPr>
        <w:pStyle w:val="Prrafodelista"/>
        <w:numPr>
          <w:ilvl w:val="0"/>
          <w:numId w:val="2"/>
        </w:numPr>
        <w:jc w:val="center"/>
        <w:rPr>
          <w:rFonts w:eastAsia="Calibri" w:cstheme="minorHAnsi"/>
          <w:b/>
          <w:color w:val="636363"/>
          <w:lang w:eastAsia="pt-BR"/>
        </w:rPr>
      </w:pPr>
      <w:r>
        <w:rPr>
          <w:rFonts w:eastAsia="Calibri" w:cstheme="minorHAnsi"/>
          <w:b/>
          <w:color w:val="636363"/>
          <w:lang w:eastAsia="pt-BR"/>
        </w:rPr>
        <w:t xml:space="preserve">Formará parte del Comité de Dirección en España y del Comité Global de Recursos Humanos </w:t>
      </w:r>
    </w:p>
    <w:p w14:paraId="30F2D6D2" w14:textId="77777777" w:rsidR="00E231C2" w:rsidRPr="00040401" w:rsidRDefault="00E231C2"/>
    <w:p w14:paraId="6F280616" w14:textId="77777777" w:rsidR="00B0462B" w:rsidRDefault="007D46DE" w:rsidP="00B0462B">
      <w:pPr>
        <w:jc w:val="both"/>
      </w:pPr>
      <w:r>
        <w:rPr>
          <w:b/>
        </w:rPr>
        <w:t>MADRID</w:t>
      </w:r>
      <w:r w:rsidR="00E04A72" w:rsidRPr="00326C65">
        <w:rPr>
          <w:b/>
        </w:rPr>
        <w:t xml:space="preserve">, </w:t>
      </w:r>
      <w:r w:rsidR="00326C65" w:rsidRPr="007D46DE">
        <w:rPr>
          <w:b/>
          <w:highlight w:val="green"/>
        </w:rPr>
        <w:t>XX</w:t>
      </w:r>
      <w:r w:rsidR="00184E8A" w:rsidRPr="007D46DE">
        <w:rPr>
          <w:b/>
          <w:highlight w:val="green"/>
        </w:rPr>
        <w:t xml:space="preserve"> </w:t>
      </w:r>
      <w:r w:rsidR="00326C65" w:rsidRPr="007D46DE">
        <w:rPr>
          <w:b/>
          <w:highlight w:val="green"/>
        </w:rPr>
        <w:t>de XXX</w:t>
      </w:r>
      <w:r w:rsidR="00CA264C">
        <w:rPr>
          <w:b/>
        </w:rPr>
        <w:t xml:space="preserve"> </w:t>
      </w:r>
      <w:r w:rsidR="00326C65">
        <w:rPr>
          <w:b/>
        </w:rPr>
        <w:t>de 202</w:t>
      </w:r>
      <w:r>
        <w:rPr>
          <w:b/>
        </w:rPr>
        <w:t>2</w:t>
      </w:r>
      <w:r w:rsidR="00E04A72" w:rsidRPr="00E04A72">
        <w:t xml:space="preserve"> - Atento S.A. (NYSE: ATTO, "Atento" o la "Compañía"), uno de los mayores proveedores de servicios de relación con el cliente y externalización de procesos de negocio (CRM / BPO) del mundo y líder del sector en </w:t>
      </w:r>
      <w:r w:rsidR="00713D2F">
        <w:t>Latinoamérica</w:t>
      </w:r>
      <w:r w:rsidR="00783B78">
        <w:t>,</w:t>
      </w:r>
      <w:r w:rsidR="00C07848">
        <w:t xml:space="preserve"> </w:t>
      </w:r>
      <w:r w:rsidR="001B686A">
        <w:t>ha no</w:t>
      </w:r>
      <w:r w:rsidR="007D094A">
        <w:t>mbrado a María García-Trevijano Álvarez como nueva d</w:t>
      </w:r>
      <w:r w:rsidR="001B686A">
        <w:t xml:space="preserve">irectora de Recursos Humanos en EMEA. </w:t>
      </w:r>
      <w:r w:rsidR="00F47CA6">
        <w:t xml:space="preserve">En su nuevo puesto formará parte del Comité de Dirección de España y del Comité Global de Recursos Humanos. </w:t>
      </w:r>
    </w:p>
    <w:p w14:paraId="6D7E64FD" w14:textId="0258B866" w:rsidR="00783B78" w:rsidRDefault="00B0462B" w:rsidP="00053ADA">
      <w:pPr>
        <w:jc w:val="both"/>
      </w:pPr>
      <w:r>
        <w:t>María se unió a la C</w:t>
      </w:r>
      <w:r w:rsidR="007D094A">
        <w:t>ompañía hace más de cuatro años</w:t>
      </w:r>
      <w:r>
        <w:t xml:space="preserve"> y ant</w:t>
      </w:r>
      <w:r w:rsidR="007D094A">
        <w:t>eriormente ocupaba el cargo de g</w:t>
      </w:r>
      <w:r>
        <w:t xml:space="preserve">erente de </w:t>
      </w:r>
      <w:r w:rsidRPr="00052D2B">
        <w:t xml:space="preserve">relaciones laborales y prevención de riesgos. Su anterior experiencia laboral incluye empresas como </w:t>
      </w:r>
      <w:proofErr w:type="spellStart"/>
      <w:r w:rsidRPr="00052D2B">
        <w:t>Transcom</w:t>
      </w:r>
      <w:proofErr w:type="spellEnd"/>
      <w:r w:rsidRPr="00052D2B">
        <w:t>,</w:t>
      </w:r>
      <w:r w:rsidR="003F5338" w:rsidRPr="00052D2B">
        <w:t xml:space="preserve"> GSS (</w:t>
      </w:r>
      <w:proofErr w:type="spellStart"/>
      <w:r w:rsidR="003F5338" w:rsidRPr="00052D2B">
        <w:t>Covisian</w:t>
      </w:r>
      <w:proofErr w:type="spellEnd"/>
      <w:r w:rsidR="003F5338" w:rsidRPr="00052D2B">
        <w:t>),</w:t>
      </w:r>
      <w:r w:rsidRPr="00052D2B">
        <w:t xml:space="preserve"> </w:t>
      </w:r>
      <w:proofErr w:type="spellStart"/>
      <w:r w:rsidRPr="00052D2B">
        <w:t>Temps</w:t>
      </w:r>
      <w:proofErr w:type="spellEnd"/>
      <w:r w:rsidRPr="00052D2B">
        <w:t xml:space="preserve"> </w:t>
      </w:r>
      <w:proofErr w:type="spellStart"/>
      <w:r w:rsidRPr="00052D2B">
        <w:t>Multiwork</w:t>
      </w:r>
      <w:proofErr w:type="spellEnd"/>
      <w:r w:rsidRPr="00052D2B">
        <w:t xml:space="preserve"> o la Embajada </w:t>
      </w:r>
      <w:r w:rsidR="003F5338" w:rsidRPr="00052D2B">
        <w:t>de España en</w:t>
      </w:r>
      <w:r w:rsidRPr="00052D2B">
        <w:t xml:space="preserve"> Santiago de Chile. Cuenta con una licenciatura en derecho por la Universidad Complutense de Madrid y un máster por ICAI- ICADE </w:t>
      </w:r>
      <w:r>
        <w:t>en Asesoría Jurídica de empresas, derecho laboral, mercantil y fiscal.</w:t>
      </w:r>
    </w:p>
    <w:p w14:paraId="24F52670" w14:textId="77777777" w:rsidR="00B0462B" w:rsidRDefault="00794996" w:rsidP="00E7279E">
      <w:pPr>
        <w:jc w:val="both"/>
      </w:pPr>
      <w:r>
        <w:t>A pesar de que acaba de ocupar esta nueva posición, ya ha</w:t>
      </w:r>
      <w:r w:rsidR="00783B78">
        <w:t xml:space="preserve"> identificado varios retos a los que enfrentarse durante </w:t>
      </w:r>
      <w:r>
        <w:t>su</w:t>
      </w:r>
      <w:r w:rsidR="00783B78">
        <w:t xml:space="preserve"> nueva etapa</w:t>
      </w:r>
      <w:r w:rsidR="007D46DE">
        <w:t>,</w:t>
      </w:r>
      <w:r w:rsidR="00783B78">
        <w:t xml:space="preserve"> y se ha marcado importantes objetivos que contribuirán significativamente a la actividad de Atento en EMEA y </w:t>
      </w:r>
      <w:r w:rsidR="00B0462B">
        <w:t xml:space="preserve">al bienestar del equipo humano. </w:t>
      </w:r>
    </w:p>
    <w:p w14:paraId="6BD05926" w14:textId="77777777" w:rsidR="00E7279E" w:rsidRDefault="00B0462B" w:rsidP="00E7279E">
      <w:pPr>
        <w:jc w:val="both"/>
      </w:pPr>
      <w:r>
        <w:t xml:space="preserve">“Estoy </w:t>
      </w:r>
      <w:r w:rsidR="007D094A">
        <w:t>en el</w:t>
      </w:r>
      <w:r>
        <w:t xml:space="preserve"> inicio de una etapa profesional que, estoy segura, será apasionante. Estamos en un momento en el que existen grandes retos y, por lo tanto, grandes oportunidades para la Compañía. Uno de mis objetivos es acelerar la transformación y mejora de los procesos de Recursos Humanos tanto a través de nuevas tecnologías como del talento humano. En este sentido, la innovación será un pilar clave”. </w:t>
      </w:r>
    </w:p>
    <w:p w14:paraId="32F8E511" w14:textId="77777777" w:rsidR="00B0462B" w:rsidRDefault="00B0462B" w:rsidP="00E7279E">
      <w:pPr>
        <w:jc w:val="both"/>
      </w:pPr>
      <w:r>
        <w:t>Por otro lado, María también tiene como objetivo mejorar los procesos internos de cara a mejorar la eficiencia</w:t>
      </w:r>
      <w:r w:rsidR="00794996">
        <w:t>,</w:t>
      </w:r>
      <w:r>
        <w:t xml:space="preserve"> a la vez que se genera la mejor experiencia de empleado. De esta manera, espera potenciar la capacidad de liderazgo del equipo e incrementar el compromiso con Atento. </w:t>
      </w:r>
    </w:p>
    <w:p w14:paraId="11788423" w14:textId="77777777" w:rsidR="00B0462B" w:rsidRDefault="007D094A" w:rsidP="00E7279E">
      <w:pPr>
        <w:jc w:val="both"/>
      </w:pPr>
      <w:r>
        <w:t>Por último, la nueva d</w:t>
      </w:r>
      <w:r w:rsidR="00B0462B">
        <w:t>irectora de Recursos Humanos de EMEA se enfrentará a un importante desafío muy lig</w:t>
      </w:r>
      <w:r>
        <w:t>ado a la estrategia de Atento: c</w:t>
      </w:r>
      <w:r w:rsidR="00B0462B">
        <w:t>ontribuir al crecimiento de clientes que apuestan por el Hub m</w:t>
      </w:r>
      <w:r w:rsidR="00794996">
        <w:t>ultilingüe de la C</w:t>
      </w:r>
      <w:r w:rsidR="00B0462B">
        <w:t xml:space="preserve">ompañía. El objetivo de este Hub es poder ofrecer servicios de atención al cliente en todos los idiomas europeos, de manera que se mejore significativamente la experiencia y el compromiso de los clientes y del talento interno nativo. </w:t>
      </w:r>
      <w:r w:rsidR="007D46DE">
        <w:t xml:space="preserve">En este sentido, María deberá contribuir agilizando el ciclo de adquisición de talento en un entorno digital único. </w:t>
      </w:r>
    </w:p>
    <w:p w14:paraId="5771E6B7" w14:textId="74AA0D9F" w:rsidR="00783B78" w:rsidRPr="00B0462B" w:rsidRDefault="007B6068" w:rsidP="007B6068">
      <w:r>
        <w:t>José María Pérez Melber</w:t>
      </w:r>
      <w:r w:rsidR="00B0462B" w:rsidRPr="00B0462B">
        <w:t xml:space="preserve">, </w:t>
      </w:r>
      <w:r>
        <w:t>director General de Atento en la región EMEA,</w:t>
      </w:r>
      <w:r w:rsidR="00B0462B" w:rsidRPr="00B0462B">
        <w:t xml:space="preserve"> a quien Mar</w:t>
      </w:r>
      <w:r w:rsidR="00B0462B">
        <w:t>ía reportará directamente, asegura:</w:t>
      </w:r>
    </w:p>
    <w:p w14:paraId="47ACD691" w14:textId="1C5ADE52" w:rsidR="00F47CA6" w:rsidRDefault="00B0462B" w:rsidP="007B6068">
      <w:pPr>
        <w:jc w:val="both"/>
      </w:pPr>
      <w:r w:rsidRPr="00B0462B">
        <w:t xml:space="preserve"> </w:t>
      </w:r>
      <w:r w:rsidR="00651CD9">
        <w:t>“</w:t>
      </w:r>
      <w:r w:rsidR="007B6068">
        <w:t>Estamos convencidos de</w:t>
      </w:r>
      <w:r>
        <w:t xml:space="preserve"> que María va a desempeñar un trabajo</w:t>
      </w:r>
      <w:r w:rsidR="007D094A">
        <w:t xml:space="preserve"> excelente en su nueva posición</w:t>
      </w:r>
      <w:r>
        <w:t xml:space="preserve"> y que cumplirá con las </w:t>
      </w:r>
      <w:r w:rsidR="007D46DE">
        <w:t>expectativas de la Compañía. Gracias a s</w:t>
      </w:r>
      <w:r>
        <w:t xml:space="preserve">u trayectoria, visión y compromiso con Atento </w:t>
      </w:r>
      <w:r w:rsidR="007D46DE">
        <w:t xml:space="preserve">ha demostrado ser la persona idónea para el puesto y sabemos que </w:t>
      </w:r>
      <w:r w:rsidR="007B6068">
        <w:t>su contribución será determinante para alcanzar los ambiciosos objetivos que nos hemos marcado en la gestión del talento</w:t>
      </w:r>
      <w:r w:rsidR="007D46DE">
        <w:t>”</w:t>
      </w:r>
      <w:r w:rsidR="007D094A">
        <w:t>.</w:t>
      </w:r>
      <w:r w:rsidR="007D46DE">
        <w:t xml:space="preserve"> </w:t>
      </w:r>
    </w:p>
    <w:p w14:paraId="24998553" w14:textId="309C8D2B" w:rsidR="007B6068" w:rsidRDefault="007B6068" w:rsidP="00053ADA">
      <w:pPr>
        <w:jc w:val="both"/>
      </w:pPr>
    </w:p>
    <w:p w14:paraId="00E07BCF" w14:textId="77777777" w:rsidR="007B6068" w:rsidRDefault="007B6068" w:rsidP="00053ADA">
      <w:pPr>
        <w:jc w:val="both"/>
      </w:pPr>
    </w:p>
    <w:p w14:paraId="4CB05B95" w14:textId="77777777" w:rsidR="00E04A72" w:rsidRPr="003B4991" w:rsidRDefault="00E04A72" w:rsidP="00E04A72">
      <w:pPr>
        <w:rPr>
          <w:rStyle w:val="Textoennegrita"/>
          <w:rFonts w:cstheme="minorHAnsi"/>
          <w:color w:val="01426A"/>
          <w:sz w:val="20"/>
          <w:szCs w:val="20"/>
        </w:rPr>
      </w:pPr>
      <w:r w:rsidRPr="003B4991">
        <w:rPr>
          <w:rStyle w:val="Textoennegrita"/>
          <w:rFonts w:cstheme="minorHAnsi"/>
          <w:color w:val="01426A"/>
          <w:sz w:val="20"/>
          <w:szCs w:val="20"/>
        </w:rPr>
        <w:t>Sobre Atento</w:t>
      </w:r>
    </w:p>
    <w:p w14:paraId="24B633FB" w14:textId="77777777" w:rsidR="00132DF6" w:rsidRPr="007B3676" w:rsidRDefault="00132DF6" w:rsidP="00132DF6">
      <w:pPr>
        <w:pStyle w:val="NormalWeb"/>
        <w:shd w:val="clear" w:color="auto" w:fill="FFFFFF"/>
        <w:spacing w:before="0" w:beforeAutospacing="0"/>
        <w:jc w:val="both"/>
        <w:rPr>
          <w:rStyle w:val="Hipervnculo"/>
          <w:rFonts w:asciiTheme="minorHAnsi" w:eastAsia="Calibri" w:hAnsiTheme="minorHAnsi" w:cstheme="minorHAnsi"/>
          <w:sz w:val="20"/>
          <w:szCs w:val="20"/>
          <w:lang w:val="es-ES" w:eastAsia="pt-BR"/>
        </w:rPr>
      </w:pPr>
      <w:r w:rsidRPr="007B3676">
        <w:rPr>
          <w:rFonts w:asciiTheme="minorHAnsi" w:hAnsiTheme="minorHAnsi" w:cstheme="minorHAnsi"/>
          <w:color w:val="595959"/>
          <w:sz w:val="20"/>
          <w:szCs w:val="20"/>
          <w:lang w:val="es-ES"/>
        </w:rPr>
        <w:t xml:space="preserve">Atento es el mayor proveedor de servicios de gestión de la relación con el cliente y de externalización de procesos de negocio ("CRM BPO") en América Latina, y uno de los primeros proveedores a nivel mundial. Atento es también uno de los principales proveedores de servicios de CRM BPO en régimen de </w:t>
      </w:r>
      <w:proofErr w:type="spellStart"/>
      <w:r w:rsidRPr="007B3676">
        <w:rPr>
          <w:rFonts w:asciiTheme="minorHAnsi" w:hAnsiTheme="minorHAnsi" w:cstheme="minorHAnsi"/>
          <w:color w:val="595959"/>
          <w:sz w:val="20"/>
          <w:szCs w:val="20"/>
          <w:lang w:val="es-ES"/>
        </w:rPr>
        <w:t>nearshoring</w:t>
      </w:r>
      <w:proofErr w:type="spellEnd"/>
      <w:r w:rsidRPr="007B3676">
        <w:rPr>
          <w:rFonts w:asciiTheme="minorHAnsi" w:hAnsiTheme="minorHAnsi" w:cstheme="minorHAnsi"/>
          <w:color w:val="595959"/>
          <w:sz w:val="20"/>
          <w:szCs w:val="20"/>
          <w:lang w:val="es-ES"/>
        </w:rPr>
        <w:t xml:space="preserve"> para empresas que desarrollan su actividad en Estados Unidos. Desde 1999, la compañía ha desarrollado su modelo de negocio en 14 países en los que emplea a aproximadamente 150.000 personas. Atento cuenta con más de 400 clientes a los que ofrece una amplia gama de servicios CRM BPO a través de múltiples canales. Los clientes de Atento son en su mayoría empresas multinacionales líderes en sectores como las telecomunicaciones, la banca y los servicios financieros, la sanidad, el comercio minorista y las administraciones públicas, entre otros. Las acciones de Atento cotizan bajo el símbolo ATTO en la Bolsa de Nueva York (NYSE). En 2019, Atento fue nombrada una de las 25 mejores empresas multinacionales del mundo y una de las mejores multinacionales para trabajar en América Latina por Great Place to </w:t>
      </w:r>
      <w:proofErr w:type="spellStart"/>
      <w:r w:rsidRPr="007B3676">
        <w:rPr>
          <w:rFonts w:asciiTheme="minorHAnsi" w:hAnsiTheme="minorHAnsi" w:cstheme="minorHAnsi"/>
          <w:color w:val="595959"/>
          <w:sz w:val="20"/>
          <w:szCs w:val="20"/>
          <w:lang w:val="es-ES"/>
        </w:rPr>
        <w:t>Work</w:t>
      </w:r>
      <w:proofErr w:type="spellEnd"/>
      <w:r w:rsidRPr="007B3676">
        <w:rPr>
          <w:rFonts w:asciiTheme="minorHAnsi" w:hAnsiTheme="minorHAnsi" w:cstheme="minorHAnsi"/>
          <w:color w:val="595959"/>
          <w:sz w:val="20"/>
          <w:szCs w:val="20"/>
          <w:lang w:val="es-ES"/>
        </w:rPr>
        <w:t>®. Además, en 2021 Everest nombró a Atento como “</w:t>
      </w:r>
      <w:proofErr w:type="spellStart"/>
      <w:r w:rsidRPr="007B3676">
        <w:rPr>
          <w:rFonts w:asciiTheme="minorHAnsi" w:hAnsiTheme="minorHAnsi" w:cstheme="minorHAnsi"/>
          <w:color w:val="595959"/>
          <w:sz w:val="20"/>
          <w:szCs w:val="20"/>
          <w:lang w:val="es-ES"/>
        </w:rPr>
        <w:t>star</w:t>
      </w:r>
      <w:proofErr w:type="spellEnd"/>
      <w:r w:rsidRPr="007B3676">
        <w:rPr>
          <w:rFonts w:asciiTheme="minorHAnsi" w:hAnsiTheme="minorHAnsi" w:cstheme="minorHAnsi"/>
          <w:color w:val="595959"/>
          <w:sz w:val="20"/>
          <w:szCs w:val="20"/>
          <w:lang w:val="es-ES"/>
        </w:rPr>
        <w:t xml:space="preserve"> </w:t>
      </w:r>
      <w:proofErr w:type="spellStart"/>
      <w:r w:rsidRPr="007B3676">
        <w:rPr>
          <w:rFonts w:asciiTheme="minorHAnsi" w:hAnsiTheme="minorHAnsi" w:cstheme="minorHAnsi"/>
          <w:color w:val="595959"/>
          <w:sz w:val="20"/>
          <w:szCs w:val="20"/>
          <w:lang w:val="es-ES"/>
        </w:rPr>
        <w:t>performer</w:t>
      </w:r>
      <w:proofErr w:type="spellEnd"/>
      <w:r w:rsidRPr="007B3676">
        <w:rPr>
          <w:rFonts w:asciiTheme="minorHAnsi" w:hAnsiTheme="minorHAnsi" w:cstheme="minorHAnsi"/>
          <w:color w:val="595959"/>
          <w:sz w:val="20"/>
          <w:szCs w:val="20"/>
          <w:lang w:val="es-ES"/>
        </w:rPr>
        <w:t xml:space="preserve">”. Gartner ha nombrado a la compañía dos años consecutivos como líder en su Cuadrante Mágico desde 2021. Para más información visite </w:t>
      </w:r>
      <w:hyperlink r:id="rId7">
        <w:r w:rsidRPr="007B3676">
          <w:rPr>
            <w:rStyle w:val="Hipervnculo"/>
            <w:rFonts w:asciiTheme="minorHAnsi" w:eastAsia="Calibri" w:hAnsiTheme="minorHAnsi" w:cstheme="minorHAnsi"/>
            <w:sz w:val="20"/>
            <w:szCs w:val="20"/>
            <w:lang w:val="es-ES"/>
          </w:rPr>
          <w:t>www.atento.com</w:t>
        </w:r>
      </w:hyperlink>
      <w:r w:rsidRPr="007B3676">
        <w:rPr>
          <w:rFonts w:asciiTheme="minorHAnsi" w:eastAsia="Calibri" w:hAnsiTheme="minorHAnsi" w:cstheme="minorHAnsi"/>
          <w:sz w:val="20"/>
          <w:szCs w:val="20"/>
          <w:lang w:val="es-ES" w:eastAsia="pt-BR"/>
        </w:rPr>
        <w:t xml:space="preserve"> </w:t>
      </w:r>
      <w:hyperlink r:id="rId8" w:history="1"/>
    </w:p>
    <w:p w14:paraId="7CF4D748" w14:textId="77777777" w:rsidR="009360AF" w:rsidRPr="003B4991" w:rsidRDefault="009360AF" w:rsidP="009360AF">
      <w:pPr>
        <w:rPr>
          <w:rStyle w:val="Textoennegrita"/>
          <w:rFonts w:cstheme="minorHAnsi"/>
          <w:color w:val="01426A"/>
          <w:sz w:val="20"/>
          <w:szCs w:val="20"/>
        </w:rPr>
      </w:pPr>
      <w:r w:rsidRPr="003B4991">
        <w:rPr>
          <w:rStyle w:val="Textoennegrita"/>
          <w:rFonts w:cstheme="minorHAnsi"/>
          <w:color w:val="01426A"/>
          <w:sz w:val="20"/>
          <w:szCs w:val="20"/>
        </w:rPr>
        <w:t>Contacto para medios</w:t>
      </w:r>
    </w:p>
    <w:p w14:paraId="57F3E0B6" w14:textId="77777777" w:rsidR="009360AF" w:rsidRPr="00040401" w:rsidRDefault="005879E0" w:rsidP="009360AF">
      <w:pPr>
        <w:rPr>
          <w:rFonts w:cstheme="minorHAnsi"/>
          <w:color w:val="595959" w:themeColor="text1" w:themeTint="A6"/>
          <w:sz w:val="20"/>
          <w:szCs w:val="20"/>
        </w:rPr>
      </w:pPr>
      <w:hyperlink r:id="rId9" w:history="1">
        <w:r w:rsidR="009360AF" w:rsidRPr="009360AF">
          <w:rPr>
            <w:rFonts w:cstheme="minorHAnsi"/>
            <w:color w:val="595959" w:themeColor="text1" w:themeTint="A6"/>
            <w:sz w:val="20"/>
            <w:szCs w:val="20"/>
          </w:rPr>
          <w:t>press@atento.com</w:t>
        </w:r>
      </w:hyperlink>
    </w:p>
    <w:p w14:paraId="42009430" w14:textId="77777777" w:rsidR="009360AF" w:rsidRPr="00125FA8" w:rsidRDefault="009360AF" w:rsidP="009360AF">
      <w:pPr>
        <w:rPr>
          <w:b/>
          <w:bCs/>
          <w:color w:val="333399"/>
          <w:sz w:val="20"/>
          <w:szCs w:val="20"/>
          <w:lang w:val="es-US"/>
        </w:rPr>
      </w:pPr>
    </w:p>
    <w:p w14:paraId="2B41C8C2" w14:textId="77777777" w:rsidR="009360AF" w:rsidRPr="00132DF6" w:rsidRDefault="009360AF" w:rsidP="009360AF">
      <w:pPr>
        <w:rPr>
          <w:rStyle w:val="Textoennegrita"/>
          <w:color w:val="333399"/>
        </w:rPr>
      </w:pPr>
    </w:p>
    <w:p w14:paraId="15BF93B8" w14:textId="77777777" w:rsidR="003B4991" w:rsidRPr="00132DF6" w:rsidRDefault="003B4991">
      <w:pPr>
        <w:rPr>
          <w:rStyle w:val="Textoennegrita"/>
          <w:color w:val="333399"/>
        </w:rPr>
      </w:pPr>
    </w:p>
    <w:sectPr w:rsidR="003B4991" w:rsidRPr="00132DF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12A2" w14:textId="77777777" w:rsidR="00425A8D" w:rsidRDefault="00425A8D" w:rsidP="00125FA8">
      <w:pPr>
        <w:spacing w:after="0" w:line="240" w:lineRule="auto"/>
      </w:pPr>
      <w:r>
        <w:separator/>
      </w:r>
    </w:p>
  </w:endnote>
  <w:endnote w:type="continuationSeparator" w:id="0">
    <w:p w14:paraId="110FC70A" w14:textId="77777777" w:rsidR="00425A8D" w:rsidRDefault="00425A8D" w:rsidP="0012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BA21" w14:textId="77777777" w:rsidR="00425A8D" w:rsidRDefault="00425A8D" w:rsidP="00125FA8">
      <w:pPr>
        <w:spacing w:after="0" w:line="240" w:lineRule="auto"/>
      </w:pPr>
      <w:r>
        <w:separator/>
      </w:r>
    </w:p>
  </w:footnote>
  <w:footnote w:type="continuationSeparator" w:id="0">
    <w:p w14:paraId="5F2AE7A2" w14:textId="77777777" w:rsidR="00425A8D" w:rsidRDefault="00425A8D" w:rsidP="00125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3495" w14:textId="77777777" w:rsidR="00125FA8" w:rsidRDefault="00125FA8">
    <w:pPr>
      <w:pStyle w:val="Encabezado"/>
    </w:pPr>
    <w:r>
      <w:rPr>
        <w:noProof/>
        <w:lang w:eastAsia="es-ES"/>
      </w:rPr>
      <w:drawing>
        <wp:anchor distT="0" distB="0" distL="114300" distR="114300" simplePos="0" relativeHeight="251658240" behindDoc="0" locked="0" layoutInCell="1" allowOverlap="1" wp14:anchorId="7C95B3ED" wp14:editId="162493B2">
          <wp:simplePos x="0" y="0"/>
          <wp:positionH relativeFrom="column">
            <wp:posOffset>-918210</wp:posOffset>
          </wp:positionH>
          <wp:positionV relativeFrom="paragraph">
            <wp:posOffset>-220980</wp:posOffset>
          </wp:positionV>
          <wp:extent cx="1652270" cy="664210"/>
          <wp:effectExtent l="0" t="0" r="0" b="0"/>
          <wp:wrapThrough wrapText="bothSides">
            <wp:wrapPolygon edited="0">
              <wp:start x="7222" y="5576"/>
              <wp:lineTo x="3238" y="6815"/>
              <wp:lineTo x="2988" y="13629"/>
              <wp:lineTo x="5479" y="15488"/>
              <wp:lineTo x="17682" y="15488"/>
              <wp:lineTo x="18927" y="10532"/>
              <wp:lineTo x="17433" y="8054"/>
              <wp:lineTo x="10958" y="5576"/>
              <wp:lineTo x="7222" y="5576"/>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68D"/>
    <w:multiLevelType w:val="hybridMultilevel"/>
    <w:tmpl w:val="F9DA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C679D"/>
    <w:multiLevelType w:val="hybridMultilevel"/>
    <w:tmpl w:val="903CD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9652356">
    <w:abstractNumId w:val="0"/>
  </w:num>
  <w:num w:numId="2" w16cid:durableId="861239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C2"/>
    <w:rsid w:val="000351BD"/>
    <w:rsid w:val="00040401"/>
    <w:rsid w:val="00052D2B"/>
    <w:rsid w:val="00053ADA"/>
    <w:rsid w:val="0008785E"/>
    <w:rsid w:val="00087D77"/>
    <w:rsid w:val="000C216B"/>
    <w:rsid w:val="00116FEE"/>
    <w:rsid w:val="00125FA8"/>
    <w:rsid w:val="001278FF"/>
    <w:rsid w:val="00132DF6"/>
    <w:rsid w:val="00142AC3"/>
    <w:rsid w:val="00156403"/>
    <w:rsid w:val="001668B7"/>
    <w:rsid w:val="00184E8A"/>
    <w:rsid w:val="001B686A"/>
    <w:rsid w:val="002127A4"/>
    <w:rsid w:val="0022418C"/>
    <w:rsid w:val="00243569"/>
    <w:rsid w:val="00245010"/>
    <w:rsid w:val="002B05DE"/>
    <w:rsid w:val="002D5BA6"/>
    <w:rsid w:val="00326C65"/>
    <w:rsid w:val="003B4991"/>
    <w:rsid w:val="003E1E5A"/>
    <w:rsid w:val="003F5338"/>
    <w:rsid w:val="00425A8D"/>
    <w:rsid w:val="004B68C0"/>
    <w:rsid w:val="004C0C3B"/>
    <w:rsid w:val="004F1EC6"/>
    <w:rsid w:val="004F2CCB"/>
    <w:rsid w:val="005203CF"/>
    <w:rsid w:val="005715BA"/>
    <w:rsid w:val="005879E0"/>
    <w:rsid w:val="00594E35"/>
    <w:rsid w:val="005C5E8B"/>
    <w:rsid w:val="005F2F72"/>
    <w:rsid w:val="00602C79"/>
    <w:rsid w:val="00607A8F"/>
    <w:rsid w:val="006348F1"/>
    <w:rsid w:val="00651CD9"/>
    <w:rsid w:val="00692651"/>
    <w:rsid w:val="006A2BF2"/>
    <w:rsid w:val="006E47EF"/>
    <w:rsid w:val="007032E5"/>
    <w:rsid w:val="00713D2F"/>
    <w:rsid w:val="007200AA"/>
    <w:rsid w:val="00731742"/>
    <w:rsid w:val="007655BE"/>
    <w:rsid w:val="00775C53"/>
    <w:rsid w:val="00783B78"/>
    <w:rsid w:val="00794996"/>
    <w:rsid w:val="007A56DE"/>
    <w:rsid w:val="007B6068"/>
    <w:rsid w:val="007D094A"/>
    <w:rsid w:val="007D1DED"/>
    <w:rsid w:val="007D46DE"/>
    <w:rsid w:val="007E4A35"/>
    <w:rsid w:val="007F0818"/>
    <w:rsid w:val="00801807"/>
    <w:rsid w:val="00816407"/>
    <w:rsid w:val="00834E4A"/>
    <w:rsid w:val="008647B2"/>
    <w:rsid w:val="00880FB0"/>
    <w:rsid w:val="008B4294"/>
    <w:rsid w:val="008C5688"/>
    <w:rsid w:val="00907F10"/>
    <w:rsid w:val="009360AF"/>
    <w:rsid w:val="0095304D"/>
    <w:rsid w:val="009A79D4"/>
    <w:rsid w:val="009B5EBC"/>
    <w:rsid w:val="00A56028"/>
    <w:rsid w:val="00B0462B"/>
    <w:rsid w:val="00B05D7D"/>
    <w:rsid w:val="00C07848"/>
    <w:rsid w:val="00C770E9"/>
    <w:rsid w:val="00C90BEC"/>
    <w:rsid w:val="00C9305F"/>
    <w:rsid w:val="00C96E8D"/>
    <w:rsid w:val="00CA264C"/>
    <w:rsid w:val="00CC49CC"/>
    <w:rsid w:val="00CF2B30"/>
    <w:rsid w:val="00D01FE8"/>
    <w:rsid w:val="00D26713"/>
    <w:rsid w:val="00DA76FB"/>
    <w:rsid w:val="00E04A72"/>
    <w:rsid w:val="00E21728"/>
    <w:rsid w:val="00E231C2"/>
    <w:rsid w:val="00E7279E"/>
    <w:rsid w:val="00E818A3"/>
    <w:rsid w:val="00EE3066"/>
    <w:rsid w:val="00F07DDF"/>
    <w:rsid w:val="00F45DC3"/>
    <w:rsid w:val="00F47CA6"/>
    <w:rsid w:val="00F6266D"/>
    <w:rsid w:val="00F85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A1F8F4"/>
  <w15:chartTrackingRefBased/>
  <w15:docId w15:val="{02510DF6-11E5-43A2-AD57-4E2A8643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31C2"/>
    <w:pPr>
      <w:spacing w:after="0" w:line="240" w:lineRule="auto"/>
      <w:ind w:left="720"/>
      <w:contextualSpacing/>
    </w:pPr>
    <w:rPr>
      <w:sz w:val="24"/>
      <w:szCs w:val="24"/>
    </w:rPr>
  </w:style>
  <w:style w:type="character" w:styleId="Textoennegrita">
    <w:name w:val="Strong"/>
    <w:basedOn w:val="Fuentedeprrafopredeter"/>
    <w:uiPriority w:val="22"/>
    <w:qFormat/>
    <w:rsid w:val="00E04A72"/>
    <w:rPr>
      <w:b/>
      <w:bCs/>
    </w:rPr>
  </w:style>
  <w:style w:type="character" w:styleId="Hipervnculo">
    <w:name w:val="Hyperlink"/>
    <w:basedOn w:val="Fuentedeprrafopredeter"/>
    <w:uiPriority w:val="99"/>
    <w:unhideWhenUsed/>
    <w:rsid w:val="007200AA"/>
    <w:rPr>
      <w:color w:val="0563C1" w:themeColor="hyperlink"/>
      <w:u w:val="single"/>
    </w:rPr>
  </w:style>
  <w:style w:type="paragraph" w:styleId="NormalWeb">
    <w:name w:val="Normal (Web)"/>
    <w:basedOn w:val="Normal"/>
    <w:link w:val="NormalWebCar"/>
    <w:uiPriority w:val="99"/>
    <w:unhideWhenUsed/>
    <w:rsid w:val="007200AA"/>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Textoindependiente">
    <w:name w:val="Body Text"/>
    <w:basedOn w:val="Normal"/>
    <w:link w:val="TextoindependienteCar"/>
    <w:rsid w:val="00125FA8"/>
    <w:pPr>
      <w:spacing w:after="20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rsid w:val="00125FA8"/>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125F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5FA8"/>
  </w:style>
  <w:style w:type="paragraph" w:styleId="Piedepgina">
    <w:name w:val="footer"/>
    <w:basedOn w:val="Normal"/>
    <w:link w:val="PiedepginaCar"/>
    <w:uiPriority w:val="99"/>
    <w:unhideWhenUsed/>
    <w:rsid w:val="00125F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5FA8"/>
  </w:style>
  <w:style w:type="character" w:styleId="Refdecomentario">
    <w:name w:val="annotation reference"/>
    <w:basedOn w:val="Fuentedeprrafopredeter"/>
    <w:uiPriority w:val="99"/>
    <w:semiHidden/>
    <w:unhideWhenUsed/>
    <w:rsid w:val="00607A8F"/>
    <w:rPr>
      <w:sz w:val="16"/>
      <w:szCs w:val="16"/>
    </w:rPr>
  </w:style>
  <w:style w:type="paragraph" w:styleId="Textocomentario">
    <w:name w:val="annotation text"/>
    <w:basedOn w:val="Normal"/>
    <w:link w:val="TextocomentarioCar"/>
    <w:uiPriority w:val="99"/>
    <w:semiHidden/>
    <w:unhideWhenUsed/>
    <w:rsid w:val="00607A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7A8F"/>
    <w:rPr>
      <w:sz w:val="20"/>
      <w:szCs w:val="20"/>
    </w:rPr>
  </w:style>
  <w:style w:type="paragraph" w:styleId="Asuntodelcomentario">
    <w:name w:val="annotation subject"/>
    <w:basedOn w:val="Textocomentario"/>
    <w:next w:val="Textocomentario"/>
    <w:link w:val="AsuntodelcomentarioCar"/>
    <w:uiPriority w:val="99"/>
    <w:semiHidden/>
    <w:unhideWhenUsed/>
    <w:rsid w:val="00607A8F"/>
    <w:rPr>
      <w:b/>
      <w:bCs/>
    </w:rPr>
  </w:style>
  <w:style w:type="character" w:customStyle="1" w:styleId="AsuntodelcomentarioCar">
    <w:name w:val="Asunto del comentario Car"/>
    <w:basedOn w:val="TextocomentarioCar"/>
    <w:link w:val="Asuntodelcomentario"/>
    <w:uiPriority w:val="99"/>
    <w:semiHidden/>
    <w:rsid w:val="00607A8F"/>
    <w:rPr>
      <w:b/>
      <w:bCs/>
      <w:sz w:val="20"/>
      <w:szCs w:val="20"/>
    </w:rPr>
  </w:style>
  <w:style w:type="paragraph" w:styleId="Textodeglobo">
    <w:name w:val="Balloon Text"/>
    <w:basedOn w:val="Normal"/>
    <w:link w:val="TextodegloboCar"/>
    <w:uiPriority w:val="99"/>
    <w:semiHidden/>
    <w:unhideWhenUsed/>
    <w:rsid w:val="00607A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A8F"/>
    <w:rPr>
      <w:rFonts w:ascii="Segoe UI" w:hAnsi="Segoe UI" w:cs="Segoe UI"/>
      <w:sz w:val="18"/>
      <w:szCs w:val="18"/>
    </w:rPr>
  </w:style>
  <w:style w:type="character" w:customStyle="1" w:styleId="NormalWebCar">
    <w:name w:val="Normal (Web) Car"/>
    <w:link w:val="NormalWeb"/>
    <w:uiPriority w:val="99"/>
    <w:locked/>
    <w:rsid w:val="00132DF6"/>
    <w:rPr>
      <w:rFonts w:ascii="Times New Roman" w:eastAsia="Times New Roman" w:hAnsi="Times New Roman" w:cs="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gnyteDrive\emeaourspacefiles\Shared\WSW\MAD\HOME\CLIENTES\ATENTO\2022\3.%20Notas%20de%20prensa\2.%20Espa&#241;a\Borradores\www.atento.com" TargetMode="External"/><Relationship Id="rId3" Type="http://schemas.openxmlformats.org/officeDocument/2006/relationships/settings" Target="settings.xml"/><Relationship Id="rId7" Type="http://schemas.openxmlformats.org/officeDocument/2006/relationships/hyperlink" Target="https://www.aten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aten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4047</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Victoria (MAD-WSW)</dc:creator>
  <cp:keywords/>
  <dc:description/>
  <cp:lastModifiedBy>Betsaida Sedano Muñoz</cp:lastModifiedBy>
  <cp:revision>2</cp:revision>
  <cp:lastPrinted>2022-02-08T09:08:00Z</cp:lastPrinted>
  <dcterms:created xsi:type="dcterms:W3CDTF">2022-09-13T10:00:00Z</dcterms:created>
  <dcterms:modified xsi:type="dcterms:W3CDTF">2022-09-13T10:00:00Z</dcterms:modified>
</cp:coreProperties>
</file>