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C07C" w14:textId="18F75595" w:rsidR="00257652" w:rsidRPr="0058059A" w:rsidRDefault="00257652" w:rsidP="00F038B7">
      <w:pPr>
        <w:jc w:val="center"/>
        <w:rPr>
          <w:b/>
          <w:bCs/>
          <w:color w:val="ED7D31" w:themeColor="accent2"/>
          <w:sz w:val="36"/>
          <w:szCs w:val="36"/>
          <w:lang w:val="es-MX"/>
        </w:rPr>
      </w:pPr>
      <w:r w:rsidRPr="0058059A">
        <w:rPr>
          <w:b/>
          <w:bCs/>
          <w:color w:val="ED7D31" w:themeColor="accent2"/>
          <w:sz w:val="36"/>
          <w:szCs w:val="36"/>
          <w:lang w:val="es-MX"/>
        </w:rPr>
        <w:t xml:space="preserve">Implementar </w:t>
      </w:r>
      <w:r w:rsidR="0057308D" w:rsidRPr="0058059A">
        <w:rPr>
          <w:b/>
          <w:bCs/>
          <w:color w:val="ED7D31" w:themeColor="accent2"/>
          <w:sz w:val="36"/>
          <w:szCs w:val="36"/>
          <w:lang w:val="es-MX"/>
        </w:rPr>
        <w:t xml:space="preserve">soluciones de </w:t>
      </w:r>
      <w:r w:rsidRPr="0058059A">
        <w:rPr>
          <w:b/>
          <w:bCs/>
          <w:color w:val="ED7D31" w:themeColor="accent2"/>
          <w:sz w:val="36"/>
          <w:szCs w:val="36"/>
          <w:lang w:val="es-MX"/>
        </w:rPr>
        <w:t xml:space="preserve">Experiencia al Cliente logra 89% de satisfacción de los </w:t>
      </w:r>
      <w:r w:rsidR="0057308D" w:rsidRPr="0058059A">
        <w:rPr>
          <w:b/>
          <w:bCs/>
          <w:color w:val="ED7D31" w:themeColor="accent2"/>
          <w:sz w:val="36"/>
          <w:szCs w:val="36"/>
          <w:lang w:val="es-MX"/>
        </w:rPr>
        <w:t>compradores</w:t>
      </w:r>
    </w:p>
    <w:p w14:paraId="1147338E" w14:textId="3F3F1EFE" w:rsidR="00257652" w:rsidRPr="006E7EF3" w:rsidRDefault="00BD2F47" w:rsidP="00257652">
      <w:pPr>
        <w:pStyle w:val="ListParagraph"/>
        <w:numPr>
          <w:ilvl w:val="0"/>
          <w:numId w:val="2"/>
        </w:numPr>
        <w:jc w:val="center"/>
        <w:rPr>
          <w:b/>
          <w:bCs/>
          <w:color w:val="767171" w:themeColor="background2" w:themeShade="80"/>
          <w:sz w:val="24"/>
          <w:szCs w:val="24"/>
          <w:lang w:val="es-MX"/>
        </w:rPr>
      </w:pPr>
      <w:r w:rsidRPr="006E7EF3">
        <w:rPr>
          <w:b/>
          <w:bCs/>
          <w:i/>
          <w:iCs/>
          <w:color w:val="767171" w:themeColor="background2" w:themeShade="80"/>
          <w:lang w:val="es-MX"/>
        </w:rPr>
        <w:t xml:space="preserve"> </w:t>
      </w:r>
      <w:r w:rsidR="00257652" w:rsidRPr="006E7EF3">
        <w:rPr>
          <w:b/>
          <w:bCs/>
          <w:color w:val="767171" w:themeColor="background2" w:themeShade="80"/>
          <w:sz w:val="24"/>
          <w:szCs w:val="24"/>
          <w:lang w:val="es-MX"/>
        </w:rPr>
        <w:t>Las soluciones de Atento</w:t>
      </w:r>
      <w:r w:rsidR="00903A3B" w:rsidRPr="006E7EF3">
        <w:rPr>
          <w:b/>
          <w:bCs/>
          <w:color w:val="767171" w:themeColor="background2" w:themeShade="80"/>
          <w:sz w:val="24"/>
          <w:szCs w:val="24"/>
          <w:lang w:val="es-MX"/>
        </w:rPr>
        <w:t xml:space="preserve"> pueden</w:t>
      </w:r>
      <w:r w:rsidR="00257652" w:rsidRPr="006E7EF3">
        <w:rPr>
          <w:b/>
          <w:bCs/>
          <w:color w:val="767171" w:themeColor="background2" w:themeShade="80"/>
          <w:sz w:val="24"/>
          <w:szCs w:val="24"/>
          <w:lang w:val="es-MX"/>
        </w:rPr>
        <w:t xml:space="preserve"> gestionar las solicitudes</w:t>
      </w:r>
      <w:r w:rsidR="0018443C" w:rsidRPr="006E7EF3">
        <w:rPr>
          <w:b/>
          <w:bCs/>
          <w:color w:val="767171" w:themeColor="background2" w:themeShade="80"/>
          <w:sz w:val="24"/>
          <w:szCs w:val="24"/>
          <w:lang w:val="es-MX"/>
        </w:rPr>
        <w:t xml:space="preserve"> de atención al cliente </w:t>
      </w:r>
      <w:r w:rsidR="006E56E1" w:rsidRPr="006E7EF3">
        <w:rPr>
          <w:b/>
          <w:bCs/>
          <w:color w:val="767171" w:themeColor="background2" w:themeShade="80"/>
          <w:sz w:val="24"/>
          <w:szCs w:val="24"/>
          <w:lang w:val="es-MX"/>
        </w:rPr>
        <w:t>en un periodo no mayor a 12</w:t>
      </w:r>
      <w:r w:rsidR="00257652" w:rsidRPr="006E7EF3">
        <w:rPr>
          <w:b/>
          <w:bCs/>
          <w:color w:val="767171" w:themeColor="background2" w:themeShade="80"/>
          <w:sz w:val="24"/>
          <w:szCs w:val="24"/>
          <w:lang w:val="es-MX"/>
        </w:rPr>
        <w:t xml:space="preserve"> minutos</w:t>
      </w:r>
      <w:r w:rsidR="00B23C45" w:rsidRPr="006E7EF3">
        <w:rPr>
          <w:b/>
          <w:bCs/>
          <w:color w:val="767171" w:themeColor="background2" w:themeShade="80"/>
          <w:sz w:val="24"/>
          <w:szCs w:val="24"/>
          <w:lang w:val="es-MX"/>
        </w:rPr>
        <w:t>.</w:t>
      </w:r>
      <w:r w:rsidR="00257652" w:rsidRPr="006E7EF3">
        <w:rPr>
          <w:b/>
          <w:bCs/>
          <w:color w:val="767171" w:themeColor="background2" w:themeShade="80"/>
          <w:sz w:val="24"/>
          <w:szCs w:val="24"/>
          <w:lang w:val="es-MX"/>
        </w:rPr>
        <w:t xml:space="preserve"> </w:t>
      </w:r>
    </w:p>
    <w:p w14:paraId="2E983D4C" w14:textId="1EF7684F" w:rsidR="00257652" w:rsidRPr="006E7EF3" w:rsidRDefault="00257652" w:rsidP="00BC641B">
      <w:pPr>
        <w:pStyle w:val="ListParagraph"/>
        <w:numPr>
          <w:ilvl w:val="0"/>
          <w:numId w:val="2"/>
        </w:numPr>
        <w:jc w:val="center"/>
        <w:rPr>
          <w:b/>
          <w:bCs/>
          <w:color w:val="767171" w:themeColor="background2" w:themeShade="80"/>
          <w:sz w:val="24"/>
          <w:szCs w:val="24"/>
          <w:lang w:val="es-MX"/>
        </w:rPr>
      </w:pPr>
      <w:r w:rsidRPr="006E7EF3">
        <w:rPr>
          <w:b/>
          <w:bCs/>
          <w:color w:val="767171" w:themeColor="background2" w:themeShade="80"/>
          <w:sz w:val="24"/>
          <w:szCs w:val="24"/>
          <w:lang w:val="es-MX"/>
        </w:rPr>
        <w:t xml:space="preserve">Durante la temporada de rebajas 8 de cada 10 </w:t>
      </w:r>
      <w:r w:rsidR="001432C6" w:rsidRPr="006E7EF3">
        <w:rPr>
          <w:b/>
          <w:bCs/>
          <w:color w:val="767171" w:themeColor="background2" w:themeShade="80"/>
          <w:sz w:val="24"/>
          <w:szCs w:val="24"/>
          <w:lang w:val="es-MX"/>
        </w:rPr>
        <w:t xml:space="preserve">mexicanos </w:t>
      </w:r>
      <w:r w:rsidRPr="006E7EF3">
        <w:rPr>
          <w:b/>
          <w:bCs/>
          <w:color w:val="767171" w:themeColor="background2" w:themeShade="80"/>
          <w:sz w:val="24"/>
          <w:szCs w:val="24"/>
          <w:lang w:val="es-MX"/>
        </w:rPr>
        <w:t>tiene la intención de adquirir algún producto o servicio</w:t>
      </w:r>
      <w:r w:rsidR="001432C6" w:rsidRPr="006E7EF3">
        <w:rPr>
          <w:b/>
          <w:bCs/>
          <w:color w:val="767171" w:themeColor="background2" w:themeShade="80"/>
          <w:sz w:val="24"/>
          <w:szCs w:val="24"/>
          <w:lang w:val="es-MX"/>
        </w:rPr>
        <w:t>.</w:t>
      </w:r>
      <w:r w:rsidRPr="006E7EF3">
        <w:rPr>
          <w:b/>
          <w:bCs/>
          <w:color w:val="767171" w:themeColor="background2" w:themeShade="80"/>
          <w:sz w:val="24"/>
          <w:szCs w:val="24"/>
          <w:lang w:val="es-MX"/>
        </w:rPr>
        <w:t xml:space="preserve"> </w:t>
      </w:r>
    </w:p>
    <w:p w14:paraId="622CCF8B" w14:textId="1315252A" w:rsidR="00257652" w:rsidRDefault="00257652" w:rsidP="00257652">
      <w:pPr>
        <w:jc w:val="both"/>
        <w:rPr>
          <w:lang w:val="es-MX"/>
        </w:rPr>
      </w:pPr>
      <w:r w:rsidRPr="00257652">
        <w:rPr>
          <w:b/>
          <w:bCs/>
          <w:lang w:val="es-MX"/>
        </w:rPr>
        <w:t xml:space="preserve">CIUDAD DE MÉXICO </w:t>
      </w:r>
      <w:r w:rsidR="00BC641B">
        <w:rPr>
          <w:b/>
          <w:bCs/>
          <w:lang w:val="es-MX"/>
        </w:rPr>
        <w:t>18</w:t>
      </w:r>
      <w:r w:rsidRPr="00257652">
        <w:rPr>
          <w:b/>
          <w:bCs/>
          <w:lang w:val="es-MX"/>
        </w:rPr>
        <w:t xml:space="preserve"> NOVIEMBRE 2022.-</w:t>
      </w:r>
      <w:r>
        <w:rPr>
          <w:lang w:val="es-MX"/>
        </w:rPr>
        <w:t xml:space="preserve"> </w:t>
      </w:r>
      <w:r w:rsidRPr="00257652">
        <w:rPr>
          <w:lang w:val="es-MX"/>
        </w:rPr>
        <w:t xml:space="preserve">Atento </w:t>
      </w:r>
      <w:r w:rsidR="006E7EF3">
        <w:rPr>
          <w:lang w:val="es-MX"/>
        </w:rPr>
        <w:t xml:space="preserve">S.A. </w:t>
      </w:r>
      <w:r w:rsidRPr="00257652">
        <w:rPr>
          <w:lang w:val="es-MX"/>
        </w:rPr>
        <w:t>(NYSE: ATTO, "Atento" o la "Compañía"), uno de los mayores proveedores de servicios de relación con el cliente y externalización de procesos de negocio (CRM / BPO) del mundo y líder del sector en Latinoamérica</w:t>
      </w:r>
      <w:r>
        <w:rPr>
          <w:lang w:val="es-MX"/>
        </w:rPr>
        <w:t xml:space="preserve">, detectó que a través de soluciones </w:t>
      </w:r>
      <w:r w:rsidR="00AF3A11">
        <w:rPr>
          <w:lang w:val="es-MX"/>
        </w:rPr>
        <w:t xml:space="preserve">de </w:t>
      </w:r>
      <w:r w:rsidR="00D0110E">
        <w:rPr>
          <w:lang w:val="es-MX"/>
        </w:rPr>
        <w:t>Experiencia al Cliente (CX</w:t>
      </w:r>
      <w:r w:rsidR="00D0110E" w:rsidRPr="0058059A">
        <w:rPr>
          <w:lang w:val="es-MX"/>
        </w:rPr>
        <w:t xml:space="preserve">) </w:t>
      </w:r>
      <w:r w:rsidR="00B22F86" w:rsidRPr="0058059A">
        <w:rPr>
          <w:lang w:val="es-MX"/>
        </w:rPr>
        <w:t xml:space="preserve">con tecnologías de voz </w:t>
      </w:r>
      <w:r w:rsidRPr="0058059A">
        <w:rPr>
          <w:lang w:val="es-MX"/>
        </w:rPr>
        <w:t>se puede</w:t>
      </w:r>
      <w:r>
        <w:rPr>
          <w:lang w:val="es-MX"/>
        </w:rPr>
        <w:t xml:space="preserve"> alcanzar </w:t>
      </w:r>
      <w:r w:rsidR="002C7754">
        <w:rPr>
          <w:lang w:val="es-MX"/>
        </w:rPr>
        <w:t>hasta 89</w:t>
      </w:r>
      <w:r>
        <w:rPr>
          <w:lang w:val="es-MX"/>
        </w:rPr>
        <w:t xml:space="preserve">% de satisfacción de los usuarios </w:t>
      </w:r>
      <w:r w:rsidR="004A3DE5">
        <w:rPr>
          <w:lang w:val="es-MX"/>
        </w:rPr>
        <w:t xml:space="preserve">del sector de </w:t>
      </w:r>
      <w:proofErr w:type="spellStart"/>
      <w:r w:rsidR="004A3DE5" w:rsidRPr="004A3DE5">
        <w:rPr>
          <w:i/>
          <w:iCs/>
          <w:lang w:val="es-MX"/>
        </w:rPr>
        <w:t>retail</w:t>
      </w:r>
      <w:proofErr w:type="spellEnd"/>
      <w:r w:rsidR="004A3DE5">
        <w:rPr>
          <w:lang w:val="es-MX"/>
        </w:rPr>
        <w:t xml:space="preserve"> </w:t>
      </w:r>
      <w:r w:rsidR="00F73D97">
        <w:rPr>
          <w:lang w:val="es-MX"/>
        </w:rPr>
        <w:t xml:space="preserve">especialmente en temporadas </w:t>
      </w:r>
      <w:r w:rsidR="00FC49F1">
        <w:rPr>
          <w:lang w:val="es-MX"/>
        </w:rPr>
        <w:t xml:space="preserve">como Buen Fin o </w:t>
      </w:r>
      <w:r w:rsidR="00B811E8">
        <w:rPr>
          <w:lang w:val="es-MX"/>
        </w:rPr>
        <w:t>navideñas</w:t>
      </w:r>
      <w:r>
        <w:rPr>
          <w:lang w:val="es-MX"/>
        </w:rPr>
        <w:t>.</w:t>
      </w:r>
    </w:p>
    <w:p w14:paraId="75077EB7" w14:textId="1C5D1288" w:rsidR="00257652" w:rsidRDefault="00257652" w:rsidP="00257652">
      <w:pPr>
        <w:jc w:val="both"/>
        <w:rPr>
          <w:lang w:val="es-MX"/>
        </w:rPr>
      </w:pPr>
      <w:r>
        <w:rPr>
          <w:lang w:val="es-MX"/>
        </w:rPr>
        <w:t xml:space="preserve">Durante la temporada de rebajas 8 de cada 10 </w:t>
      </w:r>
      <w:r w:rsidR="00534A79">
        <w:rPr>
          <w:lang w:val="es-MX"/>
        </w:rPr>
        <w:t>mexicanos</w:t>
      </w:r>
      <w:r>
        <w:rPr>
          <w:rStyle w:val="FootnoteReference"/>
          <w:lang w:val="es-MX"/>
        </w:rPr>
        <w:footnoteReference w:id="2"/>
      </w:r>
      <w:r>
        <w:rPr>
          <w:lang w:val="es-MX"/>
        </w:rPr>
        <w:t xml:space="preserve"> tiene interés en adquirir un producto o servicio</w:t>
      </w:r>
      <w:r w:rsidR="00534A79">
        <w:rPr>
          <w:lang w:val="es-MX"/>
        </w:rPr>
        <w:t>,</w:t>
      </w:r>
      <w:r>
        <w:rPr>
          <w:lang w:val="es-MX"/>
        </w:rPr>
        <w:t xml:space="preserve"> en ese sentido, los factores decisivos para la compra además de los descuentos</w:t>
      </w:r>
      <w:r w:rsidR="00DF0EEA">
        <w:rPr>
          <w:lang w:val="es-MX"/>
        </w:rPr>
        <w:t>,</w:t>
      </w:r>
      <w:r>
        <w:rPr>
          <w:lang w:val="es-MX"/>
        </w:rPr>
        <w:t xml:space="preserve"> es</w:t>
      </w:r>
      <w:r w:rsidR="00106526">
        <w:rPr>
          <w:lang w:val="es-MX"/>
        </w:rPr>
        <w:t>tá</w:t>
      </w:r>
      <w:r>
        <w:rPr>
          <w:lang w:val="es-MX"/>
        </w:rPr>
        <w:t xml:space="preserve"> la experiencia al cliente que reciben, tener diversidad de canales de contacto y </w:t>
      </w:r>
      <w:r w:rsidR="00124DF6">
        <w:rPr>
          <w:lang w:val="es-MX"/>
        </w:rPr>
        <w:t xml:space="preserve">contar con </w:t>
      </w:r>
      <w:r>
        <w:rPr>
          <w:lang w:val="es-MX"/>
        </w:rPr>
        <w:t xml:space="preserve">una pronta respuesta a </w:t>
      </w:r>
      <w:r w:rsidR="00124DF6">
        <w:rPr>
          <w:lang w:val="es-MX"/>
        </w:rPr>
        <w:t>su</w:t>
      </w:r>
      <w:r>
        <w:rPr>
          <w:lang w:val="es-MX"/>
        </w:rPr>
        <w:t>s inquietudes</w:t>
      </w:r>
      <w:r w:rsidR="009444C0">
        <w:rPr>
          <w:lang w:val="es-MX"/>
        </w:rPr>
        <w:t>.</w:t>
      </w:r>
      <w:r>
        <w:rPr>
          <w:lang w:val="es-MX"/>
        </w:rPr>
        <w:t xml:space="preserve"> </w:t>
      </w:r>
    </w:p>
    <w:p w14:paraId="0CF7AFF9" w14:textId="48E54F72" w:rsidR="00257652" w:rsidRDefault="00F577BB" w:rsidP="00411BE0">
      <w:pPr>
        <w:jc w:val="both"/>
        <w:rPr>
          <w:lang w:val="es-MX"/>
        </w:rPr>
      </w:pPr>
      <w:r>
        <w:rPr>
          <w:lang w:val="es-MX"/>
        </w:rPr>
        <w:t>A</w:t>
      </w:r>
      <w:r w:rsidR="00257652">
        <w:rPr>
          <w:lang w:val="es-MX"/>
        </w:rPr>
        <w:t xml:space="preserve"> través de las soluciones de Atento</w:t>
      </w:r>
      <w:r w:rsidR="00C73BC7">
        <w:rPr>
          <w:lang w:val="es-MX"/>
        </w:rPr>
        <w:t xml:space="preserve"> para el mercado de </w:t>
      </w:r>
      <w:proofErr w:type="spellStart"/>
      <w:r w:rsidR="00C73BC7" w:rsidRPr="00C73BC7">
        <w:rPr>
          <w:i/>
          <w:iCs/>
          <w:lang w:val="es-MX"/>
        </w:rPr>
        <w:t>retail</w:t>
      </w:r>
      <w:proofErr w:type="spellEnd"/>
      <w:r w:rsidR="00257652">
        <w:rPr>
          <w:lang w:val="es-MX"/>
        </w:rPr>
        <w:t>, se logra gestionar de manera satisfactoria l</w:t>
      </w:r>
      <w:r w:rsidR="00411BE0">
        <w:rPr>
          <w:lang w:val="es-MX"/>
        </w:rPr>
        <w:t>a</w:t>
      </w:r>
      <w:r w:rsidR="00257652">
        <w:rPr>
          <w:lang w:val="es-MX"/>
        </w:rPr>
        <w:t xml:space="preserve">s más de 15 mil </w:t>
      </w:r>
      <w:r w:rsidR="00411BE0">
        <w:rPr>
          <w:lang w:val="es-MX"/>
        </w:rPr>
        <w:t xml:space="preserve">interacciones </w:t>
      </w:r>
      <w:r w:rsidR="00257652">
        <w:rPr>
          <w:lang w:val="es-MX"/>
        </w:rPr>
        <w:t xml:space="preserve">mensuales, </w:t>
      </w:r>
      <w:r w:rsidR="00257652" w:rsidRPr="0058059A">
        <w:rPr>
          <w:lang w:val="es-MX"/>
        </w:rPr>
        <w:t>para resolver inquietudes sobre el estado de una orden</w:t>
      </w:r>
      <w:r w:rsidRPr="0058059A">
        <w:rPr>
          <w:lang w:val="es-MX"/>
        </w:rPr>
        <w:t>,</w:t>
      </w:r>
      <w:r w:rsidR="00257652" w:rsidRPr="0058059A">
        <w:rPr>
          <w:lang w:val="es-MX"/>
        </w:rPr>
        <w:t xml:space="preserve"> cambios en </w:t>
      </w:r>
      <w:proofErr w:type="gramStart"/>
      <w:r w:rsidRPr="0058059A">
        <w:rPr>
          <w:lang w:val="es-MX"/>
        </w:rPr>
        <w:t>é</w:t>
      </w:r>
      <w:r w:rsidR="00257652" w:rsidRPr="0058059A">
        <w:rPr>
          <w:lang w:val="es-MX"/>
        </w:rPr>
        <w:t>sta</w:t>
      </w:r>
      <w:proofErr w:type="gramEnd"/>
      <w:r w:rsidR="00257652" w:rsidRPr="0058059A">
        <w:rPr>
          <w:lang w:val="es-MX"/>
        </w:rPr>
        <w:t xml:space="preserve"> o la disponibilidad de los inventarios en un </w:t>
      </w:r>
      <w:r w:rsidR="006E56E1" w:rsidRPr="0058059A">
        <w:rPr>
          <w:lang w:val="es-MX"/>
        </w:rPr>
        <w:t>periodo no mayor a</w:t>
      </w:r>
      <w:r w:rsidR="006E56E1">
        <w:rPr>
          <w:lang w:val="es-MX"/>
        </w:rPr>
        <w:t xml:space="preserve"> </w:t>
      </w:r>
      <w:r w:rsidR="00257652">
        <w:rPr>
          <w:lang w:val="es-MX"/>
        </w:rPr>
        <w:t>12 minutos por solicitud.</w:t>
      </w:r>
    </w:p>
    <w:p w14:paraId="3069BF30" w14:textId="709D49CD" w:rsidR="00257652" w:rsidRDefault="00257652" w:rsidP="00257652">
      <w:pPr>
        <w:jc w:val="both"/>
        <w:rPr>
          <w:lang w:val="es-MX"/>
        </w:rPr>
      </w:pPr>
      <w:r>
        <w:rPr>
          <w:lang w:val="es-MX"/>
        </w:rPr>
        <w:t xml:space="preserve">“Actualmente generar mayores ventas va de la mano con que las empresas puedan ofrecer una experiencia de punta a punta, desde la accesibilidad de encontrar un producto hasta poder despejar todas las inquietudes que los compradores tengan, por ello, es fundamental contar con diversidad de canales de contacto y con agentes especializados” indicó Rubén Rivera, </w:t>
      </w:r>
      <w:proofErr w:type="gramStart"/>
      <w:r>
        <w:rPr>
          <w:lang w:val="es-MX"/>
        </w:rPr>
        <w:t>Director</w:t>
      </w:r>
      <w:proofErr w:type="gramEnd"/>
      <w:r>
        <w:rPr>
          <w:lang w:val="es-MX"/>
        </w:rPr>
        <w:t xml:space="preserve"> Comercial de Atento México.</w:t>
      </w:r>
    </w:p>
    <w:p w14:paraId="50FCA44C" w14:textId="43B96713" w:rsidR="00257652" w:rsidRDefault="00257652" w:rsidP="00257652">
      <w:pPr>
        <w:jc w:val="both"/>
        <w:rPr>
          <w:lang w:val="es-MX"/>
        </w:rPr>
      </w:pPr>
      <w:r>
        <w:rPr>
          <w:lang w:val="es-MX"/>
        </w:rPr>
        <w:t>Por otro lado, la omnicanalidad es una te</w:t>
      </w:r>
      <w:r w:rsidR="00D90525">
        <w:rPr>
          <w:lang w:val="es-MX"/>
        </w:rPr>
        <w:t>ndencia</w:t>
      </w:r>
      <w:r w:rsidR="00541B1C">
        <w:rPr>
          <w:lang w:val="es-MX"/>
        </w:rPr>
        <w:t xml:space="preserve"> ya consolidada </w:t>
      </w:r>
      <w:r w:rsidR="00D57A67">
        <w:rPr>
          <w:lang w:val="es-MX"/>
        </w:rPr>
        <w:t>entre las compañías de mayor éxito, la cual brinda</w:t>
      </w:r>
      <w:r w:rsidR="007C60D9">
        <w:rPr>
          <w:lang w:val="es-MX"/>
        </w:rPr>
        <w:t xml:space="preserve"> mejores experiencias</w:t>
      </w:r>
      <w:r>
        <w:rPr>
          <w:lang w:val="es-MX"/>
        </w:rPr>
        <w:t>, según el informe de Expectativa de Compra en el Buen Fin de la Asociación Mexicana de Venta Online (AMVO), indica que el 93% de los potenciales compradores planean interactuar por canales digitales.</w:t>
      </w:r>
      <w:r>
        <w:rPr>
          <w:rStyle w:val="FootnoteReference"/>
          <w:lang w:val="es-MX"/>
        </w:rPr>
        <w:footnoteReference w:id="3"/>
      </w:r>
    </w:p>
    <w:p w14:paraId="10F8EBB2" w14:textId="1A23AC62" w:rsidR="00A546A2" w:rsidRPr="0058059A" w:rsidRDefault="00A546A2" w:rsidP="00A546A2">
      <w:pPr>
        <w:jc w:val="both"/>
        <w:rPr>
          <w:lang w:val="es-MX"/>
        </w:rPr>
      </w:pPr>
      <w:r w:rsidRPr="00E330E6">
        <w:rPr>
          <w:lang w:val="es-MX"/>
        </w:rPr>
        <w:t xml:space="preserve">En el pasado, algunos clientes de Atento del sector </w:t>
      </w:r>
      <w:proofErr w:type="spellStart"/>
      <w:r w:rsidRPr="00903A3B">
        <w:rPr>
          <w:i/>
          <w:iCs/>
          <w:lang w:val="es-MX"/>
        </w:rPr>
        <w:t>retail</w:t>
      </w:r>
      <w:proofErr w:type="spellEnd"/>
      <w:r w:rsidRPr="00903A3B">
        <w:rPr>
          <w:i/>
          <w:iCs/>
          <w:lang w:val="es-MX"/>
        </w:rPr>
        <w:t xml:space="preserve"> </w:t>
      </w:r>
      <w:r w:rsidRPr="00BC641B">
        <w:rPr>
          <w:lang w:val="es-MX"/>
        </w:rPr>
        <w:t xml:space="preserve">experimentaron </w:t>
      </w:r>
      <w:r w:rsidR="0059407B" w:rsidRPr="00BC641B">
        <w:rPr>
          <w:lang w:val="es-MX"/>
        </w:rPr>
        <w:t>incremento</w:t>
      </w:r>
      <w:r w:rsidRPr="00BC641B">
        <w:rPr>
          <w:b/>
          <w:bCs/>
          <w:lang w:val="es-MX"/>
        </w:rPr>
        <w:t xml:space="preserve"> </w:t>
      </w:r>
      <w:r w:rsidRPr="00BC641B">
        <w:rPr>
          <w:lang w:val="es-MX"/>
        </w:rPr>
        <w:t>en</w:t>
      </w:r>
      <w:r w:rsidRPr="00E330E6">
        <w:rPr>
          <w:lang w:val="es-MX"/>
        </w:rPr>
        <w:t xml:space="preserve"> el volumen de las llamadas de un 146%, por lo que el equipo de atención al cliente se tuvo que triplicar. El sector de la paquetería y mensajería no se queda atrás tampoco: en el pasado tuvo que duplicarse el número de a</w:t>
      </w:r>
      <w:r w:rsidRPr="0058059A">
        <w:rPr>
          <w:lang w:val="es-MX"/>
        </w:rPr>
        <w:t>gentes desde la última semana de noviembre hasta la primera quincena de enero</w:t>
      </w:r>
      <w:r w:rsidR="00B45B96" w:rsidRPr="0058059A">
        <w:rPr>
          <w:lang w:val="es-MX"/>
        </w:rPr>
        <w:t xml:space="preserve">. Es por ello </w:t>
      </w:r>
      <w:proofErr w:type="gramStart"/>
      <w:r w:rsidR="00F90863" w:rsidRPr="0058059A">
        <w:rPr>
          <w:lang w:val="es-MX"/>
        </w:rPr>
        <w:t>que</w:t>
      </w:r>
      <w:proofErr w:type="gramEnd"/>
      <w:r w:rsidR="00B45B96" w:rsidRPr="0058059A">
        <w:rPr>
          <w:lang w:val="es-MX"/>
        </w:rPr>
        <w:t xml:space="preserve"> contar con un aliado que pueda gestionar el talento de manera eficaz y adaptar l</w:t>
      </w:r>
      <w:r w:rsidR="00F90863" w:rsidRPr="0058059A">
        <w:rPr>
          <w:lang w:val="es-MX"/>
        </w:rPr>
        <w:t>as ca</w:t>
      </w:r>
      <w:r w:rsidR="00E024C0" w:rsidRPr="0058059A">
        <w:rPr>
          <w:lang w:val="es-MX"/>
        </w:rPr>
        <w:t>m</w:t>
      </w:r>
      <w:r w:rsidR="00F90863" w:rsidRPr="0058059A">
        <w:rPr>
          <w:lang w:val="es-MX"/>
        </w:rPr>
        <w:t xml:space="preserve">pañas de CX dependiendo la demanda podrá garantizar una mejor atención. </w:t>
      </w:r>
      <w:r w:rsidR="00B45B96" w:rsidRPr="0058059A">
        <w:rPr>
          <w:lang w:val="es-MX"/>
        </w:rPr>
        <w:t xml:space="preserve"> </w:t>
      </w:r>
    </w:p>
    <w:p w14:paraId="20E5C336" w14:textId="44B32C4A" w:rsidR="00BD61D9" w:rsidRDefault="00A47623" w:rsidP="00257652">
      <w:pPr>
        <w:jc w:val="both"/>
        <w:rPr>
          <w:lang w:val="es-MX"/>
        </w:rPr>
      </w:pPr>
      <w:r w:rsidRPr="0058059A">
        <w:rPr>
          <w:lang w:val="es-MX"/>
        </w:rPr>
        <w:t>Actualmente,</w:t>
      </w:r>
      <w:r w:rsidR="00511D02" w:rsidRPr="0058059A">
        <w:rPr>
          <w:lang w:val="es-MX"/>
        </w:rPr>
        <w:t xml:space="preserve"> </w:t>
      </w:r>
      <w:r w:rsidR="008755CC" w:rsidRPr="0058059A">
        <w:rPr>
          <w:lang w:val="es-MX"/>
        </w:rPr>
        <w:t xml:space="preserve">de acuerdo con </w:t>
      </w:r>
      <w:r w:rsidR="00E55A14" w:rsidRPr="0058059A">
        <w:rPr>
          <w:lang w:val="es-MX"/>
        </w:rPr>
        <w:t xml:space="preserve">la </w:t>
      </w:r>
      <w:r w:rsidR="008B2141" w:rsidRPr="0058059A">
        <w:rPr>
          <w:lang w:val="es-MX"/>
        </w:rPr>
        <w:t xml:space="preserve">Asociación Mexicana de Experiencia al Cliente </w:t>
      </w:r>
      <w:r w:rsidR="00702BE5" w:rsidRPr="0058059A">
        <w:rPr>
          <w:lang w:val="es-MX"/>
        </w:rPr>
        <w:t xml:space="preserve">un </w:t>
      </w:r>
      <w:r w:rsidRPr="0058059A">
        <w:rPr>
          <w:lang w:val="es-MX"/>
        </w:rPr>
        <w:t xml:space="preserve">68% </w:t>
      </w:r>
      <w:r w:rsidR="008755CC" w:rsidRPr="0058059A">
        <w:rPr>
          <w:lang w:val="es-MX"/>
        </w:rPr>
        <w:t xml:space="preserve">de las empresas </w:t>
      </w:r>
      <w:r w:rsidRPr="0058059A">
        <w:rPr>
          <w:lang w:val="es-MX"/>
        </w:rPr>
        <w:t>menciona tener procedimientos para priorizar y potencializar sus proyectos relacionados con la experiencia del cliente</w:t>
      </w:r>
      <w:r w:rsidR="00440C0C" w:rsidRPr="0058059A">
        <w:rPr>
          <w:rStyle w:val="FootnoteReference"/>
          <w:lang w:val="es-MX"/>
        </w:rPr>
        <w:footnoteReference w:id="4"/>
      </w:r>
      <w:r w:rsidR="006B7F16" w:rsidRPr="0058059A">
        <w:rPr>
          <w:lang w:val="es-MX"/>
        </w:rPr>
        <w:t xml:space="preserve"> </w:t>
      </w:r>
      <w:r w:rsidR="00702BE5" w:rsidRPr="0058059A">
        <w:rPr>
          <w:lang w:val="es-MX"/>
        </w:rPr>
        <w:t>por lo que aún</w:t>
      </w:r>
      <w:r w:rsidR="00726108" w:rsidRPr="0058059A">
        <w:rPr>
          <w:lang w:val="es-MX"/>
        </w:rPr>
        <w:t xml:space="preserve"> falta permear </w:t>
      </w:r>
      <w:r w:rsidR="004E010E" w:rsidRPr="0058059A">
        <w:rPr>
          <w:lang w:val="es-MX"/>
        </w:rPr>
        <w:t xml:space="preserve">aún más en </w:t>
      </w:r>
      <w:r w:rsidR="00726108" w:rsidRPr="0058059A">
        <w:rPr>
          <w:lang w:val="es-MX"/>
        </w:rPr>
        <w:t xml:space="preserve">soluciones </w:t>
      </w:r>
      <w:r w:rsidR="004E010E" w:rsidRPr="0058059A">
        <w:rPr>
          <w:lang w:val="es-MX"/>
        </w:rPr>
        <w:t>de CX</w:t>
      </w:r>
      <w:r w:rsidR="00726108" w:rsidRPr="0058059A">
        <w:rPr>
          <w:lang w:val="es-MX"/>
        </w:rPr>
        <w:t xml:space="preserve"> y enfatizarlas especialmente en</w:t>
      </w:r>
      <w:r w:rsidR="004E010E" w:rsidRPr="0058059A">
        <w:rPr>
          <w:lang w:val="es-MX"/>
        </w:rPr>
        <w:t xml:space="preserve"> picos de compra.</w:t>
      </w:r>
      <w:r w:rsidR="004E010E">
        <w:rPr>
          <w:lang w:val="es-MX"/>
        </w:rPr>
        <w:t xml:space="preserve"> </w:t>
      </w:r>
    </w:p>
    <w:p w14:paraId="688CA95B" w14:textId="77777777" w:rsidR="00257652" w:rsidRDefault="00257652" w:rsidP="00257652">
      <w:pPr>
        <w:jc w:val="both"/>
        <w:rPr>
          <w:lang w:val="es-MX"/>
        </w:rPr>
      </w:pPr>
    </w:p>
    <w:p w14:paraId="29AA7806" w14:textId="77777777" w:rsidR="00257652" w:rsidRPr="00257652" w:rsidRDefault="00257652" w:rsidP="00257652">
      <w:pPr>
        <w:rPr>
          <w:rStyle w:val="Strong"/>
          <w:rFonts w:cstheme="minorHAnsi"/>
          <w:color w:val="01426A"/>
          <w:sz w:val="20"/>
          <w:szCs w:val="20"/>
          <w:lang w:val="es-MX"/>
        </w:rPr>
      </w:pPr>
      <w:r w:rsidRPr="00257652">
        <w:rPr>
          <w:rStyle w:val="Strong"/>
          <w:rFonts w:cstheme="minorHAnsi"/>
          <w:color w:val="01426A"/>
          <w:sz w:val="20"/>
          <w:szCs w:val="20"/>
          <w:lang w:val="es-MX"/>
        </w:rPr>
        <w:t>Sobre Atento</w:t>
      </w:r>
    </w:p>
    <w:p w14:paraId="0BCB3F5F" w14:textId="77777777" w:rsidR="00257652" w:rsidRPr="007B3676" w:rsidRDefault="00257652" w:rsidP="00257652">
      <w:pPr>
        <w:pStyle w:val="NormalWeb"/>
        <w:shd w:val="clear" w:color="auto" w:fill="FFFFFF"/>
        <w:spacing w:before="0" w:beforeAutospacing="0"/>
        <w:jc w:val="both"/>
        <w:rPr>
          <w:rStyle w:val="Hyperlink"/>
          <w:rFonts w:asciiTheme="minorHAnsi" w:eastAsia="Calibri" w:hAnsiTheme="minorHAnsi" w:cstheme="minorHAnsi"/>
          <w:sz w:val="20"/>
          <w:szCs w:val="20"/>
          <w:lang w:val="es-ES" w:eastAsia="pt-BR"/>
        </w:rPr>
      </w:pPr>
      <w:r w:rsidRPr="007B3676">
        <w:rPr>
          <w:rFonts w:asciiTheme="minorHAnsi" w:hAnsiTheme="minorHAnsi" w:cstheme="minorHAnsi"/>
          <w:color w:val="595959"/>
          <w:sz w:val="20"/>
          <w:szCs w:val="20"/>
          <w:lang w:val="es-ES"/>
        </w:rPr>
        <w:t xml:space="preserve">Atento es el mayor proveedor de servicios de gestión de la relación con el cliente y de externalización de procesos de negocio ("CRM BPO") en América Latina, y uno de los primeros proveedores a nivel mundial. Atento es también uno de los principales proveedores de servicios de CRM BPO en régimen de </w:t>
      </w:r>
      <w:proofErr w:type="spellStart"/>
      <w:r w:rsidRPr="007B3676">
        <w:rPr>
          <w:rFonts w:asciiTheme="minorHAnsi" w:hAnsiTheme="minorHAnsi" w:cstheme="minorHAnsi"/>
          <w:color w:val="595959"/>
          <w:sz w:val="20"/>
          <w:szCs w:val="20"/>
          <w:lang w:val="es-ES"/>
        </w:rPr>
        <w:t>nearshoring</w:t>
      </w:r>
      <w:proofErr w:type="spellEnd"/>
      <w:r w:rsidRPr="007B3676">
        <w:rPr>
          <w:rFonts w:asciiTheme="minorHAnsi" w:hAnsiTheme="minorHAnsi" w:cstheme="minorHAnsi"/>
          <w:color w:val="595959"/>
          <w:sz w:val="20"/>
          <w:szCs w:val="20"/>
          <w:lang w:val="es-ES"/>
        </w:rPr>
        <w:t xml:space="preserve"> para empresas que desarrollan su actividad en Estados Unidos. Desde 1999, la compañía ha desarrollado su modelo de negocio en 14 países en los que emplea a aproximadamente 150.000 personas. Atento cuenta con más de 400 clientes a los que ofrece una amplia gama de servicios CRM BPO a través de múltiples canales. Los clientes de Atento son en su mayoría empresas multinacionales líderes en sectores como las telecomunicaciones, la banca y los servicios financieros, la sanidad, el comercio minorista y las administraciones públicas, entre otros. Las acciones de Atento cotizan bajo el símbolo ATTO en la Bolsa de Nueva York (NYSE). En 2019, Atento fue nombrada una de las 25 mejores empresas multinacionales del mundo y una de las mejores multinacionales para trabajar en América Latina por Great Place </w:t>
      </w:r>
      <w:proofErr w:type="spellStart"/>
      <w:r w:rsidRPr="007B3676">
        <w:rPr>
          <w:rFonts w:asciiTheme="minorHAnsi" w:hAnsiTheme="minorHAnsi" w:cstheme="minorHAnsi"/>
          <w:color w:val="595959"/>
          <w:sz w:val="20"/>
          <w:szCs w:val="20"/>
          <w:lang w:val="es-ES"/>
        </w:rPr>
        <w:t>to</w:t>
      </w:r>
      <w:proofErr w:type="spellEnd"/>
      <w:r w:rsidRPr="007B3676">
        <w:rPr>
          <w:rFonts w:asciiTheme="minorHAnsi" w:hAnsiTheme="minorHAnsi" w:cstheme="minorHAnsi"/>
          <w:color w:val="595959"/>
          <w:sz w:val="20"/>
          <w:szCs w:val="20"/>
          <w:lang w:val="es-ES"/>
        </w:rPr>
        <w:t xml:space="preserve"> </w:t>
      </w:r>
      <w:proofErr w:type="spellStart"/>
      <w:r w:rsidRPr="007B3676">
        <w:rPr>
          <w:rFonts w:asciiTheme="minorHAnsi" w:hAnsiTheme="minorHAnsi" w:cstheme="minorHAnsi"/>
          <w:color w:val="595959"/>
          <w:sz w:val="20"/>
          <w:szCs w:val="20"/>
          <w:lang w:val="es-ES"/>
        </w:rPr>
        <w:t>Work</w:t>
      </w:r>
      <w:proofErr w:type="spellEnd"/>
      <w:r w:rsidRPr="007B3676">
        <w:rPr>
          <w:rFonts w:asciiTheme="minorHAnsi" w:hAnsiTheme="minorHAnsi" w:cstheme="minorHAnsi"/>
          <w:color w:val="595959"/>
          <w:sz w:val="20"/>
          <w:szCs w:val="20"/>
          <w:lang w:val="es-ES"/>
        </w:rPr>
        <w:t>®. Además, en 2021 Everest nombró a Atento como “</w:t>
      </w:r>
      <w:proofErr w:type="spellStart"/>
      <w:r w:rsidRPr="007B3676">
        <w:rPr>
          <w:rFonts w:asciiTheme="minorHAnsi" w:hAnsiTheme="minorHAnsi" w:cstheme="minorHAnsi"/>
          <w:color w:val="595959"/>
          <w:sz w:val="20"/>
          <w:szCs w:val="20"/>
          <w:lang w:val="es-ES"/>
        </w:rPr>
        <w:t>star</w:t>
      </w:r>
      <w:proofErr w:type="spellEnd"/>
      <w:r w:rsidRPr="007B3676">
        <w:rPr>
          <w:rFonts w:asciiTheme="minorHAnsi" w:hAnsiTheme="minorHAnsi" w:cstheme="minorHAnsi"/>
          <w:color w:val="595959"/>
          <w:sz w:val="20"/>
          <w:szCs w:val="20"/>
          <w:lang w:val="es-ES"/>
        </w:rPr>
        <w:t xml:space="preserve"> </w:t>
      </w:r>
      <w:proofErr w:type="spellStart"/>
      <w:r w:rsidRPr="007B3676">
        <w:rPr>
          <w:rFonts w:asciiTheme="minorHAnsi" w:hAnsiTheme="minorHAnsi" w:cstheme="minorHAnsi"/>
          <w:color w:val="595959"/>
          <w:sz w:val="20"/>
          <w:szCs w:val="20"/>
          <w:lang w:val="es-ES"/>
        </w:rPr>
        <w:t>performer</w:t>
      </w:r>
      <w:proofErr w:type="spellEnd"/>
      <w:r w:rsidRPr="007B3676">
        <w:rPr>
          <w:rFonts w:asciiTheme="minorHAnsi" w:hAnsiTheme="minorHAnsi" w:cstheme="minorHAnsi"/>
          <w:color w:val="595959"/>
          <w:sz w:val="20"/>
          <w:szCs w:val="20"/>
          <w:lang w:val="es-ES"/>
        </w:rPr>
        <w:t xml:space="preserve">”. Gartner ha nombrado a la compañía dos años consecutivos como líder en su Cuadrante Mágico desde 2021. Para más información visite </w:t>
      </w:r>
      <w:hyperlink r:id="rId8">
        <w:r w:rsidRPr="007B3676">
          <w:rPr>
            <w:rStyle w:val="Hyperlink"/>
            <w:rFonts w:asciiTheme="minorHAnsi" w:eastAsia="Calibri" w:hAnsiTheme="minorHAnsi" w:cstheme="minorHAnsi"/>
            <w:sz w:val="20"/>
            <w:szCs w:val="20"/>
            <w:lang w:val="es-ES"/>
          </w:rPr>
          <w:t>www.atento.com</w:t>
        </w:r>
      </w:hyperlink>
      <w:r w:rsidRPr="007B3676">
        <w:rPr>
          <w:rFonts w:asciiTheme="minorHAnsi" w:eastAsia="Calibri" w:hAnsiTheme="minorHAnsi" w:cstheme="minorHAnsi"/>
          <w:sz w:val="20"/>
          <w:szCs w:val="20"/>
          <w:lang w:val="es-ES" w:eastAsia="pt-BR"/>
        </w:rPr>
        <w:t xml:space="preserve"> </w:t>
      </w:r>
    </w:p>
    <w:p w14:paraId="0F4AD40A" w14:textId="77777777" w:rsidR="00257652" w:rsidRPr="00257652" w:rsidRDefault="00257652" w:rsidP="00257652">
      <w:pPr>
        <w:rPr>
          <w:rStyle w:val="Strong"/>
          <w:rFonts w:cstheme="minorHAnsi"/>
          <w:color w:val="01426A"/>
          <w:sz w:val="20"/>
          <w:szCs w:val="20"/>
          <w:lang w:val="es-MX"/>
        </w:rPr>
      </w:pPr>
      <w:r w:rsidRPr="00257652">
        <w:rPr>
          <w:rStyle w:val="Strong"/>
          <w:rFonts w:cstheme="minorHAnsi"/>
          <w:color w:val="01426A"/>
          <w:sz w:val="20"/>
          <w:szCs w:val="20"/>
          <w:lang w:val="es-MX"/>
        </w:rPr>
        <w:t>Contacto para medios</w:t>
      </w:r>
    </w:p>
    <w:p w14:paraId="758EECC6" w14:textId="5D367901" w:rsidR="00257652" w:rsidRDefault="008005B5" w:rsidP="00257652">
      <w:pPr>
        <w:jc w:val="both"/>
        <w:rPr>
          <w:lang w:val="es-MX"/>
        </w:rPr>
      </w:pPr>
      <w:hyperlink r:id="rId9" w:history="1">
        <w:r w:rsidR="00903A3B" w:rsidRPr="00702558">
          <w:rPr>
            <w:rStyle w:val="Hyperlink"/>
            <w:lang w:val="es-MX"/>
          </w:rPr>
          <w:t>press@atento.com</w:t>
        </w:r>
      </w:hyperlink>
      <w:r w:rsidR="00903A3B">
        <w:rPr>
          <w:lang w:val="es-MX"/>
        </w:rPr>
        <w:t xml:space="preserve"> </w:t>
      </w:r>
    </w:p>
    <w:p w14:paraId="63640586" w14:textId="66F001FE" w:rsidR="00257652" w:rsidRPr="00257652" w:rsidRDefault="00257652">
      <w:pPr>
        <w:rPr>
          <w:lang w:val="es-MX"/>
        </w:rPr>
      </w:pPr>
    </w:p>
    <w:sectPr w:rsidR="00257652" w:rsidRPr="0025765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31A7" w14:textId="77777777" w:rsidR="008005B5" w:rsidRDefault="008005B5" w:rsidP="00257652">
      <w:pPr>
        <w:spacing w:after="0" w:line="240" w:lineRule="auto"/>
      </w:pPr>
      <w:r>
        <w:separator/>
      </w:r>
    </w:p>
  </w:endnote>
  <w:endnote w:type="continuationSeparator" w:id="0">
    <w:p w14:paraId="0F171EB7" w14:textId="77777777" w:rsidR="008005B5" w:rsidRDefault="008005B5" w:rsidP="00257652">
      <w:pPr>
        <w:spacing w:after="0" w:line="240" w:lineRule="auto"/>
      </w:pPr>
      <w:r>
        <w:continuationSeparator/>
      </w:r>
    </w:p>
  </w:endnote>
  <w:endnote w:type="continuationNotice" w:id="1">
    <w:p w14:paraId="3C321C94" w14:textId="77777777" w:rsidR="008005B5" w:rsidRDefault="008005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3C13" w14:textId="77777777" w:rsidR="008005B5" w:rsidRDefault="008005B5" w:rsidP="00257652">
      <w:pPr>
        <w:spacing w:after="0" w:line="240" w:lineRule="auto"/>
      </w:pPr>
      <w:r>
        <w:separator/>
      </w:r>
    </w:p>
  </w:footnote>
  <w:footnote w:type="continuationSeparator" w:id="0">
    <w:p w14:paraId="50E4AD34" w14:textId="77777777" w:rsidR="008005B5" w:rsidRDefault="008005B5" w:rsidP="00257652">
      <w:pPr>
        <w:spacing w:after="0" w:line="240" w:lineRule="auto"/>
      </w:pPr>
      <w:r>
        <w:continuationSeparator/>
      </w:r>
    </w:p>
  </w:footnote>
  <w:footnote w:type="continuationNotice" w:id="1">
    <w:p w14:paraId="6CC97AA7" w14:textId="77777777" w:rsidR="008005B5" w:rsidRDefault="008005B5">
      <w:pPr>
        <w:spacing w:after="0" w:line="240" w:lineRule="auto"/>
      </w:pPr>
    </w:p>
  </w:footnote>
  <w:footnote w:id="2">
    <w:p w14:paraId="2A71AB02" w14:textId="77777777" w:rsidR="00257652" w:rsidRPr="00257652" w:rsidRDefault="00257652" w:rsidP="00257652">
      <w:pPr>
        <w:pStyle w:val="FootnoteText"/>
        <w:rPr>
          <w:lang w:val="es-MX"/>
        </w:rPr>
      </w:pPr>
      <w:r>
        <w:rPr>
          <w:rStyle w:val="FootnoteReference"/>
        </w:rPr>
        <w:footnoteRef/>
      </w:r>
      <w:r w:rsidRPr="00257652">
        <w:rPr>
          <w:lang w:val="es-MX"/>
        </w:rPr>
        <w:t xml:space="preserve"> </w:t>
      </w:r>
      <w:r w:rsidRPr="00257652">
        <w:rPr>
          <w:sz w:val="16"/>
          <w:szCs w:val="16"/>
          <w:lang w:val="es-MX"/>
        </w:rPr>
        <w:t>Expectativas de compra El Buen Fin 2022 p. 14</w:t>
      </w:r>
    </w:p>
  </w:footnote>
  <w:footnote w:id="3">
    <w:p w14:paraId="4753A758" w14:textId="1199EE9E" w:rsidR="00257652" w:rsidRPr="00257652" w:rsidRDefault="00257652">
      <w:pPr>
        <w:pStyle w:val="FootnoteText"/>
        <w:rPr>
          <w:lang w:val="es-MX"/>
        </w:rPr>
      </w:pPr>
      <w:r>
        <w:rPr>
          <w:rStyle w:val="FootnoteReference"/>
        </w:rPr>
        <w:footnoteRef/>
      </w:r>
      <w:r w:rsidRPr="00257652">
        <w:rPr>
          <w:lang w:val="es-MX"/>
        </w:rPr>
        <w:t xml:space="preserve"> </w:t>
      </w:r>
      <w:r w:rsidRPr="00257652">
        <w:rPr>
          <w:sz w:val="16"/>
          <w:szCs w:val="16"/>
          <w:lang w:val="es-MX"/>
        </w:rPr>
        <w:t>Expectativas de compra El Buen Fin 2022</w:t>
      </w:r>
      <w:r>
        <w:rPr>
          <w:sz w:val="16"/>
          <w:szCs w:val="16"/>
          <w:lang w:val="es-MX"/>
        </w:rPr>
        <w:t xml:space="preserve"> p. 10</w:t>
      </w:r>
    </w:p>
  </w:footnote>
  <w:footnote w:id="4">
    <w:p w14:paraId="3754CB28" w14:textId="5A3718A2" w:rsidR="00440C0C" w:rsidRPr="00440C0C" w:rsidRDefault="00440C0C">
      <w:pPr>
        <w:pStyle w:val="FootnoteText"/>
        <w:rPr>
          <w:lang w:val="es-MX"/>
        </w:rPr>
      </w:pPr>
      <w:r>
        <w:rPr>
          <w:rStyle w:val="FootnoteReference"/>
        </w:rPr>
        <w:footnoteRef/>
      </w:r>
      <w:r w:rsidRPr="00440C0C">
        <w:rPr>
          <w:lang w:val="es-MX"/>
        </w:rPr>
        <w:t xml:space="preserve"> </w:t>
      </w:r>
      <w:r w:rsidRPr="00F24C10">
        <w:rPr>
          <w:sz w:val="16"/>
          <w:szCs w:val="16"/>
          <w:lang w:val="es-MX"/>
        </w:rPr>
        <w:t>Primer Informe Anual de Madurez de la AMEC p</w:t>
      </w:r>
      <w:r w:rsidR="00F24C10" w:rsidRPr="00F24C10">
        <w:rPr>
          <w:sz w:val="16"/>
          <w:szCs w:val="16"/>
          <w:lang w:val="es-MX"/>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1780" w14:textId="5B462E1F" w:rsidR="00257652" w:rsidRDefault="00257652">
    <w:pPr>
      <w:pStyle w:val="Header"/>
    </w:pPr>
    <w:r>
      <w:rPr>
        <w:noProof/>
        <w:lang w:eastAsia="es-ES"/>
      </w:rPr>
      <w:drawing>
        <wp:anchor distT="0" distB="0" distL="114300" distR="114300" simplePos="0" relativeHeight="251658240" behindDoc="0" locked="0" layoutInCell="1" allowOverlap="1" wp14:anchorId="2E644B35" wp14:editId="35E6BB16">
          <wp:simplePos x="0" y="0"/>
          <wp:positionH relativeFrom="column">
            <wp:posOffset>-266700</wp:posOffset>
          </wp:positionH>
          <wp:positionV relativeFrom="paragraph">
            <wp:posOffset>-298450</wp:posOffset>
          </wp:positionV>
          <wp:extent cx="1652270" cy="664210"/>
          <wp:effectExtent l="0" t="0" r="0" b="0"/>
          <wp:wrapThrough wrapText="bothSides">
            <wp:wrapPolygon edited="0">
              <wp:start x="7222" y="5576"/>
              <wp:lineTo x="3238" y="6815"/>
              <wp:lineTo x="2988" y="13629"/>
              <wp:lineTo x="5479" y="15488"/>
              <wp:lineTo x="17682" y="15488"/>
              <wp:lineTo x="18927" y="10532"/>
              <wp:lineTo x="17433" y="8054"/>
              <wp:lineTo x="10958" y="5576"/>
              <wp:lineTo x="7222" y="5576"/>
            </wp:wrapPolygon>
          </wp:wrapThrough>
          <wp:docPr id="1" name="Imagen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94D3D"/>
    <w:multiLevelType w:val="hybridMultilevel"/>
    <w:tmpl w:val="CFFE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E6613"/>
    <w:multiLevelType w:val="hybridMultilevel"/>
    <w:tmpl w:val="5818E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8829496">
    <w:abstractNumId w:val="0"/>
  </w:num>
  <w:num w:numId="2" w16cid:durableId="35940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52"/>
    <w:rsid w:val="000030A3"/>
    <w:rsid w:val="0005223C"/>
    <w:rsid w:val="000E3E5E"/>
    <w:rsid w:val="00102535"/>
    <w:rsid w:val="00106526"/>
    <w:rsid w:val="00124DF6"/>
    <w:rsid w:val="00134875"/>
    <w:rsid w:val="001432C6"/>
    <w:rsid w:val="00172E5B"/>
    <w:rsid w:val="00177D63"/>
    <w:rsid w:val="0018443C"/>
    <w:rsid w:val="001A2762"/>
    <w:rsid w:val="001E6C8D"/>
    <w:rsid w:val="001F57A2"/>
    <w:rsid w:val="0025193E"/>
    <w:rsid w:val="00257652"/>
    <w:rsid w:val="002656E5"/>
    <w:rsid w:val="002B2168"/>
    <w:rsid w:val="002C11CC"/>
    <w:rsid w:val="002C7754"/>
    <w:rsid w:val="002D694A"/>
    <w:rsid w:val="002D7EC2"/>
    <w:rsid w:val="003A0D1A"/>
    <w:rsid w:val="00411BE0"/>
    <w:rsid w:val="0041640D"/>
    <w:rsid w:val="00440C0C"/>
    <w:rsid w:val="00457D6F"/>
    <w:rsid w:val="004A3DE5"/>
    <w:rsid w:val="004E010E"/>
    <w:rsid w:val="00511D02"/>
    <w:rsid w:val="00534A79"/>
    <w:rsid w:val="00541B1C"/>
    <w:rsid w:val="00543585"/>
    <w:rsid w:val="0057308D"/>
    <w:rsid w:val="0058059A"/>
    <w:rsid w:val="0059407B"/>
    <w:rsid w:val="005E53AD"/>
    <w:rsid w:val="00656501"/>
    <w:rsid w:val="00664A85"/>
    <w:rsid w:val="006B7F16"/>
    <w:rsid w:val="006E56E1"/>
    <w:rsid w:val="006E7EF3"/>
    <w:rsid w:val="00702BE5"/>
    <w:rsid w:val="00726108"/>
    <w:rsid w:val="007B4212"/>
    <w:rsid w:val="007C60D9"/>
    <w:rsid w:val="008005B5"/>
    <w:rsid w:val="00807050"/>
    <w:rsid w:val="00824B61"/>
    <w:rsid w:val="00834AC0"/>
    <w:rsid w:val="00863654"/>
    <w:rsid w:val="008755CC"/>
    <w:rsid w:val="008B2141"/>
    <w:rsid w:val="008E6099"/>
    <w:rsid w:val="008F07AA"/>
    <w:rsid w:val="008F56A4"/>
    <w:rsid w:val="00903A3B"/>
    <w:rsid w:val="009444C0"/>
    <w:rsid w:val="00976DB0"/>
    <w:rsid w:val="009F1431"/>
    <w:rsid w:val="00A366D5"/>
    <w:rsid w:val="00A47623"/>
    <w:rsid w:val="00A546A2"/>
    <w:rsid w:val="00AE439C"/>
    <w:rsid w:val="00AF3A11"/>
    <w:rsid w:val="00B054BD"/>
    <w:rsid w:val="00B22F86"/>
    <w:rsid w:val="00B23C45"/>
    <w:rsid w:val="00B45B96"/>
    <w:rsid w:val="00B600E5"/>
    <w:rsid w:val="00B811E8"/>
    <w:rsid w:val="00B9471F"/>
    <w:rsid w:val="00BA226E"/>
    <w:rsid w:val="00BA6932"/>
    <w:rsid w:val="00BC641B"/>
    <w:rsid w:val="00BD17F0"/>
    <w:rsid w:val="00BD2F47"/>
    <w:rsid w:val="00BD61D9"/>
    <w:rsid w:val="00C1784D"/>
    <w:rsid w:val="00C22C58"/>
    <w:rsid w:val="00C45CC6"/>
    <w:rsid w:val="00C65165"/>
    <w:rsid w:val="00C7276C"/>
    <w:rsid w:val="00C73BC7"/>
    <w:rsid w:val="00CF24E9"/>
    <w:rsid w:val="00D0110E"/>
    <w:rsid w:val="00D1700C"/>
    <w:rsid w:val="00D53E92"/>
    <w:rsid w:val="00D57A67"/>
    <w:rsid w:val="00D90525"/>
    <w:rsid w:val="00DF0EEA"/>
    <w:rsid w:val="00E024C0"/>
    <w:rsid w:val="00E330E6"/>
    <w:rsid w:val="00E42AB8"/>
    <w:rsid w:val="00E55A14"/>
    <w:rsid w:val="00E963D8"/>
    <w:rsid w:val="00F038B7"/>
    <w:rsid w:val="00F24C10"/>
    <w:rsid w:val="00F25779"/>
    <w:rsid w:val="00F33007"/>
    <w:rsid w:val="00F577BB"/>
    <w:rsid w:val="00F73D97"/>
    <w:rsid w:val="00F90863"/>
    <w:rsid w:val="00FC49F1"/>
    <w:rsid w:val="00FC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86F"/>
  <w15:chartTrackingRefBased/>
  <w15:docId w15:val="{5B6BBDF5-4D64-4C43-B3C2-92E7A59C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52"/>
  </w:style>
  <w:style w:type="paragraph" w:styleId="Footer">
    <w:name w:val="footer"/>
    <w:basedOn w:val="Normal"/>
    <w:link w:val="FooterChar"/>
    <w:uiPriority w:val="99"/>
    <w:unhideWhenUsed/>
    <w:rsid w:val="0025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52"/>
  </w:style>
  <w:style w:type="paragraph" w:styleId="FootnoteText">
    <w:name w:val="footnote text"/>
    <w:basedOn w:val="Normal"/>
    <w:link w:val="FootnoteTextChar"/>
    <w:uiPriority w:val="99"/>
    <w:semiHidden/>
    <w:unhideWhenUsed/>
    <w:rsid w:val="00257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652"/>
    <w:rPr>
      <w:sz w:val="20"/>
      <w:szCs w:val="20"/>
    </w:rPr>
  </w:style>
  <w:style w:type="character" w:styleId="FootnoteReference">
    <w:name w:val="footnote reference"/>
    <w:basedOn w:val="DefaultParagraphFont"/>
    <w:uiPriority w:val="99"/>
    <w:semiHidden/>
    <w:unhideWhenUsed/>
    <w:rsid w:val="00257652"/>
    <w:rPr>
      <w:vertAlign w:val="superscript"/>
    </w:rPr>
  </w:style>
  <w:style w:type="character" w:styleId="Strong">
    <w:name w:val="Strong"/>
    <w:basedOn w:val="DefaultParagraphFont"/>
    <w:uiPriority w:val="22"/>
    <w:qFormat/>
    <w:rsid w:val="00257652"/>
    <w:rPr>
      <w:b/>
      <w:bCs/>
    </w:rPr>
  </w:style>
  <w:style w:type="character" w:styleId="Hyperlink">
    <w:name w:val="Hyperlink"/>
    <w:basedOn w:val="DefaultParagraphFont"/>
    <w:uiPriority w:val="99"/>
    <w:unhideWhenUsed/>
    <w:rsid w:val="00257652"/>
    <w:rPr>
      <w:color w:val="0563C1" w:themeColor="hyperlink"/>
      <w:u w:val="single"/>
    </w:rPr>
  </w:style>
  <w:style w:type="paragraph" w:styleId="NormalWeb">
    <w:name w:val="Normal (Web)"/>
    <w:basedOn w:val="Normal"/>
    <w:link w:val="NormalWebChar"/>
    <w:uiPriority w:val="99"/>
    <w:unhideWhenUsed/>
    <w:rsid w:val="00257652"/>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NormalWebChar">
    <w:name w:val="Normal (Web) Char"/>
    <w:link w:val="NormalWeb"/>
    <w:uiPriority w:val="99"/>
    <w:locked/>
    <w:rsid w:val="00257652"/>
    <w:rPr>
      <w:rFonts w:ascii="Times New Roman" w:eastAsia="Times New Roman" w:hAnsi="Times New Roman" w:cs="Times New Roman"/>
      <w:sz w:val="24"/>
      <w:szCs w:val="24"/>
      <w:lang w:val="es-419" w:eastAsia="es-419"/>
    </w:rPr>
  </w:style>
  <w:style w:type="paragraph" w:styleId="ListParagraph">
    <w:name w:val="List Paragraph"/>
    <w:basedOn w:val="Normal"/>
    <w:uiPriority w:val="34"/>
    <w:qFormat/>
    <w:rsid w:val="00257652"/>
    <w:pPr>
      <w:ind w:left="720"/>
      <w:contextualSpacing/>
    </w:pPr>
  </w:style>
  <w:style w:type="paragraph" w:styleId="Revision">
    <w:name w:val="Revision"/>
    <w:hidden/>
    <w:uiPriority w:val="99"/>
    <w:semiHidden/>
    <w:rsid w:val="001A2762"/>
    <w:pPr>
      <w:spacing w:after="0" w:line="240" w:lineRule="auto"/>
    </w:pPr>
  </w:style>
  <w:style w:type="character" w:styleId="CommentReference">
    <w:name w:val="annotation reference"/>
    <w:basedOn w:val="DefaultParagraphFont"/>
    <w:uiPriority w:val="99"/>
    <w:semiHidden/>
    <w:unhideWhenUsed/>
    <w:rsid w:val="001A2762"/>
    <w:rPr>
      <w:sz w:val="16"/>
      <w:szCs w:val="16"/>
    </w:rPr>
  </w:style>
  <w:style w:type="paragraph" w:styleId="CommentText">
    <w:name w:val="annotation text"/>
    <w:basedOn w:val="Normal"/>
    <w:link w:val="CommentTextChar"/>
    <w:uiPriority w:val="99"/>
    <w:unhideWhenUsed/>
    <w:rsid w:val="001A2762"/>
    <w:pPr>
      <w:spacing w:line="240" w:lineRule="auto"/>
    </w:pPr>
    <w:rPr>
      <w:sz w:val="20"/>
      <w:szCs w:val="20"/>
    </w:rPr>
  </w:style>
  <w:style w:type="character" w:customStyle="1" w:styleId="CommentTextChar">
    <w:name w:val="Comment Text Char"/>
    <w:basedOn w:val="DefaultParagraphFont"/>
    <w:link w:val="CommentText"/>
    <w:uiPriority w:val="99"/>
    <w:rsid w:val="001A2762"/>
    <w:rPr>
      <w:sz w:val="20"/>
      <w:szCs w:val="20"/>
    </w:rPr>
  </w:style>
  <w:style w:type="paragraph" w:styleId="CommentSubject">
    <w:name w:val="annotation subject"/>
    <w:basedOn w:val="CommentText"/>
    <w:next w:val="CommentText"/>
    <w:link w:val="CommentSubjectChar"/>
    <w:uiPriority w:val="99"/>
    <w:semiHidden/>
    <w:unhideWhenUsed/>
    <w:rsid w:val="001A2762"/>
    <w:rPr>
      <w:b/>
      <w:bCs/>
    </w:rPr>
  </w:style>
  <w:style w:type="character" w:customStyle="1" w:styleId="CommentSubjectChar">
    <w:name w:val="Comment Subject Char"/>
    <w:basedOn w:val="CommentTextChar"/>
    <w:link w:val="CommentSubject"/>
    <w:uiPriority w:val="99"/>
    <w:semiHidden/>
    <w:rsid w:val="001A2762"/>
    <w:rPr>
      <w:b/>
      <w:bCs/>
      <w:sz w:val="20"/>
      <w:szCs w:val="20"/>
    </w:rPr>
  </w:style>
  <w:style w:type="character" w:styleId="UnresolvedMention">
    <w:name w:val="Unresolved Mention"/>
    <w:basedOn w:val="DefaultParagraphFont"/>
    <w:uiPriority w:val="99"/>
    <w:semiHidden/>
    <w:unhideWhenUsed/>
    <w:rsid w:val="0090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852">
      <w:bodyDiv w:val="1"/>
      <w:marLeft w:val="0"/>
      <w:marRight w:val="0"/>
      <w:marTop w:val="0"/>
      <w:marBottom w:val="0"/>
      <w:divBdr>
        <w:top w:val="none" w:sz="0" w:space="0" w:color="auto"/>
        <w:left w:val="none" w:sz="0" w:space="0" w:color="auto"/>
        <w:bottom w:val="none" w:sz="0" w:space="0" w:color="auto"/>
        <w:right w:val="none" w:sz="0" w:space="0" w:color="auto"/>
      </w:divBdr>
    </w:div>
    <w:div w:id="1575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ent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ten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596D-195F-45AF-A6C8-0518CE11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678</Words>
  <Characters>3866</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Veronica (MEX-WSW)</dc:creator>
  <cp:keywords/>
  <dc:description/>
  <cp:lastModifiedBy>Aguilar, Valeria (MEX-WSW)</cp:lastModifiedBy>
  <cp:revision>5</cp:revision>
  <dcterms:created xsi:type="dcterms:W3CDTF">2022-11-18T18:15:00Z</dcterms:created>
  <dcterms:modified xsi:type="dcterms:W3CDTF">2022-11-18T18:56:00Z</dcterms:modified>
</cp:coreProperties>
</file>